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7F8C" w14:textId="3693AEC7" w:rsidR="004836F9" w:rsidRPr="0042331D" w:rsidRDefault="004836F9">
      <w:pPr>
        <w:pStyle w:val="Tijeloteksta"/>
        <w:spacing w:before="480" w:after="940" w:line="254" w:lineRule="auto"/>
        <w:jc w:val="both"/>
        <w:rPr>
          <w:lang w:val="pt-BR"/>
        </w:rPr>
      </w:pPr>
      <w:r w:rsidRPr="0042331D">
        <w:rPr>
          <w:lang w:val="pt-BR"/>
        </w:rPr>
        <w:t>Com base no artigo 16, parágrafo 3, e no artigo 84, parágrafo 5, da Lei das Profissões Regulamentadas e do Reconhecimento de Qualificações Profissionais Estrangeiras (“Diário Oficial da Croácia”, nº 82/15, 70/19), no artigo 177 da Lei de Proteção à Saúde (“Diário Oficial da Croácia”, nº 100/18) e no artigo 16, item 7, do Estatuto da Câmara Médica da Croácia (“Diário Oficial da Croácia”, nº 55/18), a Assembleia da Câmara Médica da Croácia, na 2ª sessão realizada em 14 de dezembro de 2019, adota o seguinte:</w:t>
      </w:r>
    </w:p>
    <w:p w14:paraId="7CD79ED1" w14:textId="70D42381" w:rsidR="00052469" w:rsidRPr="0042331D" w:rsidRDefault="004836F9">
      <w:pPr>
        <w:pStyle w:val="Heading20"/>
        <w:keepNext/>
        <w:keepLines/>
        <w:spacing w:after="580"/>
        <w:rPr>
          <w:lang w:val="pt-BR"/>
        </w:rPr>
      </w:pPr>
      <w:bookmarkStart w:id="0" w:name="_GoBack"/>
      <w:r w:rsidRPr="0042331D">
        <w:rPr>
          <w:rStyle w:val="Heading2"/>
          <w:b/>
          <w:bCs/>
          <w:lang w:val="pt-BR"/>
        </w:rPr>
        <w:t>REGULAMENTO SOBRE O PROCEDIMENTO DE RECONHECIMENTO DE QUALIFICAÇÕES PROFISSIONAIS ESTRANGEIRAS</w:t>
      </w:r>
    </w:p>
    <w:p w14:paraId="76F4A2FF" w14:textId="7C17263A" w:rsidR="00052469" w:rsidRPr="0042331D" w:rsidRDefault="004836F9">
      <w:pPr>
        <w:pStyle w:val="Heading20"/>
        <w:keepNext/>
        <w:keepLines/>
        <w:numPr>
          <w:ilvl w:val="0"/>
          <w:numId w:val="1"/>
        </w:numPr>
        <w:tabs>
          <w:tab w:val="left" w:pos="309"/>
        </w:tabs>
        <w:spacing w:after="280"/>
        <w:rPr>
          <w:lang w:val="pt-BR"/>
        </w:rPr>
      </w:pPr>
      <w:bookmarkStart w:id="1" w:name="bookmark2"/>
      <w:bookmarkEnd w:id="0"/>
      <w:r w:rsidRPr="0042331D">
        <w:rPr>
          <w:rStyle w:val="Heading2"/>
          <w:b/>
          <w:bCs/>
          <w:lang w:val="pt-BR"/>
        </w:rPr>
        <w:t>DISPOSIÇÕES GERAIS</w:t>
      </w:r>
      <w:bookmarkEnd w:id="1"/>
    </w:p>
    <w:p w14:paraId="221E0035" w14:textId="257E7FBD" w:rsidR="00052469" w:rsidRPr="0042331D" w:rsidRDefault="004836F9">
      <w:pPr>
        <w:pStyle w:val="Tijeloteksta"/>
        <w:jc w:val="center"/>
        <w:rPr>
          <w:lang w:val="pt-BR"/>
        </w:rPr>
      </w:pPr>
      <w:r w:rsidRPr="0042331D">
        <w:rPr>
          <w:rStyle w:val="TijelotekstaChar"/>
          <w:lang w:val="pt-BR"/>
        </w:rPr>
        <w:t>Artigo 1</w:t>
      </w:r>
    </w:p>
    <w:p w14:paraId="73FAB68F" w14:textId="3BFE1259" w:rsidR="00052469" w:rsidRPr="0042331D" w:rsidRDefault="00AC52E4">
      <w:pPr>
        <w:pStyle w:val="Tijeloteksta"/>
        <w:numPr>
          <w:ilvl w:val="0"/>
          <w:numId w:val="2"/>
        </w:numPr>
        <w:tabs>
          <w:tab w:val="left" w:pos="391"/>
        </w:tabs>
        <w:jc w:val="both"/>
        <w:rPr>
          <w:lang w:val="pt-BR"/>
        </w:rPr>
      </w:pPr>
      <w:r w:rsidRPr="0042331D">
        <w:rPr>
          <w:rStyle w:val="TijelotekstaChar"/>
          <w:lang w:val="pt-BR"/>
        </w:rPr>
        <w:t>Este Regulamento estabelece o procedimento de reconhecimento de qualificações profissionais estrangeiras conduzido pela Câmara Médica da Croácia (daqui em diante: CMC) com o objetivo de assegurar o direito ao exercício da profissão regulamentada de médico ou médico especialista na República da Croácia (daqui em diante: RC), bem como o procedimento de aprovação e registro para prestação de serviços de forma temporária e ocasional com base em qualificações profissionais estrangeiras.</w:t>
      </w:r>
    </w:p>
    <w:p w14:paraId="743A8CD3" w14:textId="0BC9A663" w:rsidR="00052469" w:rsidRPr="0042331D" w:rsidRDefault="00AC52E4">
      <w:pPr>
        <w:pStyle w:val="Tijeloteksta"/>
        <w:numPr>
          <w:ilvl w:val="0"/>
          <w:numId w:val="2"/>
        </w:numPr>
        <w:tabs>
          <w:tab w:val="left" w:pos="391"/>
        </w:tabs>
        <w:jc w:val="both"/>
        <w:rPr>
          <w:lang w:val="pt-BR"/>
        </w:rPr>
      </w:pPr>
      <w:r w:rsidRPr="0042331D">
        <w:rPr>
          <w:rStyle w:val="TijelotekstaChar"/>
          <w:lang w:val="pt-BR"/>
        </w:rPr>
        <w:t>Os termos utilizados neste Regulamento, que têm significado de gênero, incluem igualmente os gêneros masculino e feminino.</w:t>
      </w:r>
    </w:p>
    <w:p w14:paraId="053964AE" w14:textId="158DF5C0" w:rsidR="00052469" w:rsidRPr="0042331D" w:rsidRDefault="00AC52E4">
      <w:pPr>
        <w:pStyle w:val="Tijeloteksta"/>
        <w:jc w:val="center"/>
        <w:rPr>
          <w:lang w:val="pt-BR"/>
        </w:rPr>
      </w:pPr>
      <w:r w:rsidRPr="0042331D">
        <w:rPr>
          <w:rStyle w:val="TijelotekstaChar"/>
          <w:lang w:val="pt-BR"/>
        </w:rPr>
        <w:t>Artigo 2</w:t>
      </w:r>
    </w:p>
    <w:p w14:paraId="05D81B97" w14:textId="5B4813E6" w:rsidR="00052469" w:rsidRPr="0042331D" w:rsidRDefault="00AC52E4">
      <w:pPr>
        <w:pStyle w:val="Tijeloteksta"/>
        <w:jc w:val="both"/>
        <w:rPr>
          <w:lang w:val="pt-BR"/>
        </w:rPr>
      </w:pPr>
      <w:r w:rsidRPr="0042331D">
        <w:rPr>
          <w:rStyle w:val="TijelotekstaChar"/>
          <w:lang w:val="pt-BR"/>
        </w:rPr>
        <w:t>O reconhecimento de qualificações profissionais estrangeiras é realizado de acordo com o sistema geral e automático de reconhecimento, conforme as disposições da Lei das Profissões Regulamentadas e do Reconhecimento de Qualificações Profissionais Estrangeiras, com aplicação das disposições da Lei de Processo Administrativo Geral.</w:t>
      </w:r>
    </w:p>
    <w:p w14:paraId="4EA7220F" w14:textId="6FDAF1DD" w:rsidR="00052469" w:rsidRPr="0042331D" w:rsidRDefault="00891B7E">
      <w:pPr>
        <w:pStyle w:val="Tijeloteksta"/>
        <w:jc w:val="center"/>
        <w:rPr>
          <w:lang w:val="pt-BR"/>
        </w:rPr>
      </w:pPr>
      <w:r w:rsidRPr="0042331D">
        <w:rPr>
          <w:rStyle w:val="TijelotekstaChar"/>
          <w:lang w:val="pt-BR"/>
        </w:rPr>
        <w:t>Artigo 3</w:t>
      </w:r>
    </w:p>
    <w:p w14:paraId="7CD267BF" w14:textId="5CE1DD80" w:rsidR="00052469" w:rsidRPr="0042331D" w:rsidRDefault="00891B7E">
      <w:pPr>
        <w:pStyle w:val="Tijeloteksta"/>
        <w:numPr>
          <w:ilvl w:val="0"/>
          <w:numId w:val="3"/>
        </w:numPr>
        <w:tabs>
          <w:tab w:val="left" w:pos="386"/>
        </w:tabs>
        <w:jc w:val="both"/>
        <w:rPr>
          <w:lang w:val="pt-BR"/>
        </w:rPr>
      </w:pPr>
      <w:r w:rsidRPr="0042331D">
        <w:rPr>
          <w:rStyle w:val="TijelotekstaChar"/>
          <w:lang w:val="pt-BR"/>
        </w:rPr>
        <w:t>O pedido de reconhecimento de qualificações profissionais estrangeiras e o pedido de início do procedimento de aprovação e registro para prestação de serviços temporários e ocasionais com base em qualificações profissionais estrangeiras na RC deve ser apresentado à CMC utilizando o formulário prescrito que é parte integrante deste Regulamento (Anexo I).</w:t>
      </w:r>
    </w:p>
    <w:p w14:paraId="2EE30379" w14:textId="4245BC81" w:rsidR="00052469" w:rsidRPr="0042331D" w:rsidRDefault="00891B7E">
      <w:pPr>
        <w:pStyle w:val="Tijeloteksta"/>
        <w:numPr>
          <w:ilvl w:val="0"/>
          <w:numId w:val="3"/>
        </w:numPr>
        <w:tabs>
          <w:tab w:val="left" w:pos="377"/>
        </w:tabs>
        <w:jc w:val="both"/>
        <w:rPr>
          <w:lang w:val="pt-BR"/>
        </w:rPr>
      </w:pPr>
      <w:r w:rsidRPr="0042331D">
        <w:rPr>
          <w:rStyle w:val="TijelotekstaChar"/>
          <w:lang w:val="pt-BR"/>
        </w:rPr>
        <w:t>O formulário referido no parágrafo 1 deste artigo é publicado no site oficial da CMC.</w:t>
      </w:r>
    </w:p>
    <w:p w14:paraId="560900D0" w14:textId="72343873" w:rsidR="00052469" w:rsidRPr="0042331D" w:rsidRDefault="00AE3FEC">
      <w:pPr>
        <w:pStyle w:val="Tijeloteksta"/>
        <w:jc w:val="center"/>
        <w:rPr>
          <w:lang w:val="pt-BR"/>
        </w:rPr>
      </w:pPr>
      <w:r w:rsidRPr="0042331D">
        <w:rPr>
          <w:rStyle w:val="TijelotekstaChar"/>
          <w:lang w:val="pt-BR"/>
        </w:rPr>
        <w:t>Artigo 4</w:t>
      </w:r>
    </w:p>
    <w:p w14:paraId="467D2FC7" w14:textId="77777777" w:rsidR="00C84455" w:rsidRPr="0042331D" w:rsidRDefault="009226B9" w:rsidP="00C84455">
      <w:pPr>
        <w:pStyle w:val="Tijeloteksta"/>
        <w:numPr>
          <w:ilvl w:val="0"/>
          <w:numId w:val="4"/>
        </w:numPr>
        <w:tabs>
          <w:tab w:val="left" w:pos="380"/>
        </w:tabs>
        <w:jc w:val="both"/>
        <w:rPr>
          <w:lang w:val="pt-BR"/>
        </w:rPr>
      </w:pPr>
      <w:r w:rsidRPr="0042331D">
        <w:rPr>
          <w:rStyle w:val="TijelotekstaChar"/>
          <w:lang w:val="pt-BR"/>
        </w:rPr>
        <w:t xml:space="preserve">O pedido e toda a documentação anexada devem estar em língua croata e escrita em </w:t>
      </w:r>
      <w:r w:rsidRPr="0042331D">
        <w:rPr>
          <w:rStyle w:val="TijelotekstaChar"/>
          <w:lang w:val="pt-BR"/>
        </w:rPr>
        <w:lastRenderedPageBreak/>
        <w:t xml:space="preserve">alfabeto latino. </w:t>
      </w:r>
    </w:p>
    <w:p w14:paraId="33C3E4BB" w14:textId="77777777" w:rsidR="00C84455" w:rsidRPr="0042331D" w:rsidRDefault="00C84455" w:rsidP="00C84455">
      <w:pPr>
        <w:pStyle w:val="Tijeloteksta"/>
        <w:numPr>
          <w:ilvl w:val="0"/>
          <w:numId w:val="4"/>
        </w:numPr>
        <w:tabs>
          <w:tab w:val="left" w:pos="380"/>
        </w:tabs>
        <w:jc w:val="both"/>
        <w:rPr>
          <w:lang w:val="pt-BR"/>
        </w:rPr>
      </w:pPr>
      <w:r w:rsidRPr="0042331D">
        <w:rPr>
          <w:lang w:val="pt-BR"/>
        </w:rPr>
        <w:t>Caso a documentação original esteja em língua estrangeira ou em escrita não oficial, devem ser anexadas traduções certificadas por tradutor juramentado de croata.</w:t>
      </w:r>
    </w:p>
    <w:p w14:paraId="20942F6D" w14:textId="7CBB8999" w:rsidR="00C84455" w:rsidRPr="0042331D" w:rsidRDefault="00C84455" w:rsidP="00C84455">
      <w:pPr>
        <w:pStyle w:val="Tijeloteksta"/>
        <w:numPr>
          <w:ilvl w:val="0"/>
          <w:numId w:val="4"/>
        </w:numPr>
        <w:tabs>
          <w:tab w:val="left" w:pos="380"/>
        </w:tabs>
        <w:jc w:val="both"/>
        <w:rPr>
          <w:lang w:val="pt-BR"/>
        </w:rPr>
      </w:pPr>
      <w:r w:rsidRPr="0042331D">
        <w:rPr>
          <w:lang w:val="pt-BR"/>
        </w:rPr>
        <w:t>A documentação referida no parágrafo 2 deve ser apresentada no original ou em cópias autenticadas, se necessário, com tradução para croata realizada por tradutor juramentado, salvo disposição em contrário de lei específica ou da Lei das Profissões Regulamentadas e do Reconhecimento de Qualificações Profissionais Estrangeiras.</w:t>
      </w:r>
    </w:p>
    <w:p w14:paraId="37590B4F" w14:textId="77777777" w:rsidR="00C84455" w:rsidRPr="0042331D" w:rsidRDefault="00C84455" w:rsidP="00C84455">
      <w:pPr>
        <w:pStyle w:val="Tijeloteksta"/>
        <w:numPr>
          <w:ilvl w:val="0"/>
          <w:numId w:val="4"/>
        </w:numPr>
        <w:tabs>
          <w:tab w:val="left" w:pos="380"/>
        </w:tabs>
        <w:jc w:val="both"/>
        <w:rPr>
          <w:lang w:val="pt-BR"/>
        </w:rPr>
      </w:pPr>
      <w:r w:rsidRPr="0042331D">
        <w:rPr>
          <w:lang w:val="pt-BR"/>
        </w:rPr>
        <w:t>Cópias não autenticadas podem ser anexadas para fins de arquivo do processo.</w:t>
      </w:r>
    </w:p>
    <w:p w14:paraId="2F5737B4" w14:textId="77777777" w:rsidR="00C84455" w:rsidRPr="0042331D" w:rsidRDefault="00C84455" w:rsidP="00C84455">
      <w:pPr>
        <w:pStyle w:val="Tijeloteksta"/>
        <w:numPr>
          <w:ilvl w:val="0"/>
          <w:numId w:val="4"/>
        </w:numPr>
        <w:tabs>
          <w:tab w:val="left" w:pos="380"/>
        </w:tabs>
        <w:jc w:val="both"/>
        <w:rPr>
          <w:lang w:val="pt-BR"/>
        </w:rPr>
      </w:pPr>
      <w:r w:rsidRPr="0042331D">
        <w:rPr>
          <w:lang w:val="pt-BR"/>
        </w:rPr>
        <w:t>O funcionário responsável na CMC autenticará as cópias não autenticadas com assinatura e selo.</w:t>
      </w:r>
    </w:p>
    <w:p w14:paraId="56E92CBE" w14:textId="30C90EEB" w:rsidR="00C84455" w:rsidRPr="0042331D" w:rsidRDefault="00C84455" w:rsidP="00C84455">
      <w:pPr>
        <w:pStyle w:val="Tijeloteksta"/>
        <w:numPr>
          <w:ilvl w:val="0"/>
          <w:numId w:val="4"/>
        </w:numPr>
        <w:tabs>
          <w:tab w:val="left" w:pos="380"/>
        </w:tabs>
        <w:jc w:val="both"/>
        <w:rPr>
          <w:lang w:val="pt-BR"/>
        </w:rPr>
      </w:pPr>
      <w:r w:rsidRPr="0042331D">
        <w:rPr>
          <w:lang w:val="pt-BR"/>
        </w:rPr>
        <w:t>Após a autenticação referida no parágrafo 5, e no máximo ao final do procedimento, os originais ou cópias autenticadas serão devolvidos ao requerente.</w:t>
      </w:r>
    </w:p>
    <w:p w14:paraId="68C98E98" w14:textId="44B3D3C7" w:rsidR="00052469" w:rsidRPr="0042331D" w:rsidRDefault="00A513F9">
      <w:pPr>
        <w:pStyle w:val="Tijeloteksta"/>
        <w:jc w:val="center"/>
        <w:rPr>
          <w:lang w:val="pt-BR"/>
        </w:rPr>
      </w:pPr>
      <w:r w:rsidRPr="0042331D">
        <w:rPr>
          <w:rStyle w:val="TijelotekstaChar"/>
          <w:lang w:val="pt-BR"/>
        </w:rPr>
        <w:t>Artigo 5</w:t>
      </w:r>
    </w:p>
    <w:p w14:paraId="1770473F" w14:textId="34D8D5C6" w:rsidR="00052469" w:rsidRPr="0042331D" w:rsidRDefault="00A513F9">
      <w:pPr>
        <w:pStyle w:val="Tijeloteksta"/>
        <w:spacing w:after="580"/>
        <w:jc w:val="both"/>
        <w:rPr>
          <w:lang w:val="pt-BR"/>
        </w:rPr>
      </w:pPr>
      <w:r w:rsidRPr="0042331D">
        <w:rPr>
          <w:rStyle w:val="TijelotekstaChar"/>
          <w:lang w:val="pt-BR"/>
        </w:rPr>
        <w:t>A CMC é a autoridade responsável por decidir sobre o pedido referido no Artigo 3 deste Regulamento.</w:t>
      </w:r>
    </w:p>
    <w:p w14:paraId="4969F030" w14:textId="4F53DE54" w:rsidR="00052469" w:rsidRPr="0042331D" w:rsidRDefault="00A513F9">
      <w:pPr>
        <w:pStyle w:val="Heading20"/>
        <w:keepNext/>
        <w:keepLines/>
        <w:numPr>
          <w:ilvl w:val="0"/>
          <w:numId w:val="1"/>
        </w:numPr>
        <w:tabs>
          <w:tab w:val="left" w:pos="351"/>
        </w:tabs>
        <w:spacing w:after="280"/>
        <w:rPr>
          <w:lang w:val="pt-BR"/>
        </w:rPr>
      </w:pPr>
      <w:r w:rsidRPr="0042331D">
        <w:rPr>
          <w:rStyle w:val="Heading2"/>
          <w:b/>
          <w:bCs/>
          <w:lang w:val="pt-BR"/>
        </w:rPr>
        <w:t>SISTEMA GERAL DE RECONHECIMENTO DE QUALIFICAÇÕES PROFISSIONAIS ESTRANGEIRAS</w:t>
      </w:r>
    </w:p>
    <w:p w14:paraId="0030330A" w14:textId="14D1F90C" w:rsidR="00052469" w:rsidRPr="0042331D" w:rsidRDefault="00A513F9">
      <w:pPr>
        <w:pStyle w:val="Tijeloteksta"/>
        <w:jc w:val="center"/>
        <w:rPr>
          <w:lang w:val="pt-BR"/>
        </w:rPr>
      </w:pPr>
      <w:r w:rsidRPr="0042331D">
        <w:rPr>
          <w:rStyle w:val="TijelotekstaChar"/>
          <w:lang w:val="pt-BR"/>
        </w:rPr>
        <w:t>Artigo 6</w:t>
      </w:r>
    </w:p>
    <w:p w14:paraId="6CA4D1E3" w14:textId="77777777" w:rsidR="005D4EEF" w:rsidRPr="0042331D" w:rsidRDefault="005D4EEF" w:rsidP="005D4EEF">
      <w:pPr>
        <w:pStyle w:val="Tijeloteksta"/>
        <w:numPr>
          <w:ilvl w:val="0"/>
          <w:numId w:val="5"/>
        </w:numPr>
        <w:tabs>
          <w:tab w:val="left" w:pos="393"/>
        </w:tabs>
        <w:spacing w:after="580"/>
        <w:jc w:val="both"/>
        <w:rPr>
          <w:lang w:val="pt-BR"/>
        </w:rPr>
      </w:pPr>
      <w:r w:rsidRPr="0042331D">
        <w:rPr>
          <w:lang w:val="pt-BR"/>
        </w:rPr>
        <w:t>O sistema geral de reconhecimento de qualificações profissionais estrangeiras aplica-se a cidadãos de um Estado-membro da União Europeia (UE), ou de um Estado signatário do Acordo sobre o Espaço Econômico Europeu (EEE), a cidadãos da Confederação Suíça, bem como a cidadãos da República da Croácia (RC) que tenham obtido qualificações profissionais em um Estado-membro da UE, em um Estado signatário do Acordo EEE ou na Confederação Suíça, mas que, devido a circunstâncias especiais e extraordinárias determinadas por legislação específica, não preenchem os requisitos para o sistema automático de reconhecimento de qualificações profissionais estrangeiras.</w:t>
      </w:r>
    </w:p>
    <w:p w14:paraId="68386F51" w14:textId="77777777" w:rsidR="005D4EEF" w:rsidRPr="0042331D" w:rsidRDefault="005D4EEF" w:rsidP="005D4EEF">
      <w:pPr>
        <w:pStyle w:val="Tijeloteksta"/>
        <w:numPr>
          <w:ilvl w:val="0"/>
          <w:numId w:val="5"/>
        </w:numPr>
        <w:tabs>
          <w:tab w:val="left" w:pos="393"/>
        </w:tabs>
        <w:spacing w:after="580"/>
        <w:jc w:val="both"/>
        <w:rPr>
          <w:lang w:val="pt-BR"/>
        </w:rPr>
      </w:pPr>
      <w:r w:rsidRPr="0042331D">
        <w:rPr>
          <w:lang w:val="pt-BR"/>
        </w:rPr>
        <w:t>O sistema geral de reconhecimento aplica-se a cidadãos de um Estado-membro da UE, de um Estado signatário do Acordo EEE, da Confederação Suíça, bem como a cidadãos da RC que tenham obtido qualificações profissionais em países terceiros, ou seja, em países que não são membros da UE, signatários do Acordo EEE ou da Confederação Suíça.</w:t>
      </w:r>
    </w:p>
    <w:p w14:paraId="0C0DB1AC" w14:textId="77777777" w:rsidR="005D4EEF" w:rsidRPr="0042331D" w:rsidRDefault="005D4EEF" w:rsidP="005D4EEF">
      <w:pPr>
        <w:pStyle w:val="Tijeloteksta"/>
        <w:numPr>
          <w:ilvl w:val="0"/>
          <w:numId w:val="5"/>
        </w:numPr>
        <w:tabs>
          <w:tab w:val="left" w:pos="393"/>
        </w:tabs>
        <w:spacing w:after="580"/>
        <w:jc w:val="both"/>
        <w:rPr>
          <w:lang w:val="pt-BR"/>
        </w:rPr>
      </w:pPr>
      <w:r w:rsidRPr="0042331D">
        <w:rPr>
          <w:lang w:val="pt-BR"/>
        </w:rPr>
        <w:t xml:space="preserve">O sistema geral de reconhecimento aplica-se a cidadãos de países terceiros que tenham obtido qualificações profissionais em um Estado-membro da UE, em um Estado signatário do Acordo EEE ou na Confederação Suíça, mas que, devido a circunstâncias especiais e </w:t>
      </w:r>
      <w:r w:rsidRPr="0042331D">
        <w:rPr>
          <w:lang w:val="pt-BR"/>
        </w:rPr>
        <w:lastRenderedPageBreak/>
        <w:t>extraordinárias determinadas por legislação específica, não preenchem os requisitos para o sistema automático de reconhecimento de qualificações profissionais estrangeiras.</w:t>
      </w:r>
    </w:p>
    <w:p w14:paraId="57661575" w14:textId="5B314415" w:rsidR="005D4EEF" w:rsidRPr="0042331D" w:rsidRDefault="005D4EEF" w:rsidP="005D4EEF">
      <w:pPr>
        <w:pStyle w:val="Tijeloteksta"/>
        <w:numPr>
          <w:ilvl w:val="0"/>
          <w:numId w:val="5"/>
        </w:numPr>
        <w:tabs>
          <w:tab w:val="left" w:pos="393"/>
        </w:tabs>
        <w:spacing w:after="580"/>
        <w:jc w:val="both"/>
        <w:rPr>
          <w:lang w:val="pt-BR"/>
        </w:rPr>
      </w:pPr>
      <w:r w:rsidRPr="0042331D">
        <w:rPr>
          <w:lang w:val="pt-BR"/>
        </w:rPr>
        <w:t>O sistema geral de reconhecimento aplica-se a cidadãos de países terceiros que tenham obtido qualificações profissionais em países terceiros.</w:t>
      </w:r>
    </w:p>
    <w:p w14:paraId="5FABA508" w14:textId="70350121" w:rsidR="00052469" w:rsidRPr="0042331D" w:rsidRDefault="000E7E62">
      <w:pPr>
        <w:pStyle w:val="Tijeloteksta"/>
        <w:jc w:val="center"/>
        <w:rPr>
          <w:lang w:val="pt-BR"/>
        </w:rPr>
      </w:pPr>
      <w:r w:rsidRPr="0042331D">
        <w:rPr>
          <w:rStyle w:val="TijelotekstaChar"/>
          <w:lang w:val="pt-BR"/>
        </w:rPr>
        <w:t>Artigo 7</w:t>
      </w:r>
    </w:p>
    <w:p w14:paraId="56E7181E" w14:textId="7999193C" w:rsidR="00052469" w:rsidRPr="0042331D" w:rsidRDefault="000E7E62">
      <w:pPr>
        <w:pStyle w:val="Tijeloteksta"/>
        <w:numPr>
          <w:ilvl w:val="0"/>
          <w:numId w:val="6"/>
        </w:numPr>
        <w:tabs>
          <w:tab w:val="left" w:pos="393"/>
        </w:tabs>
        <w:jc w:val="both"/>
        <w:rPr>
          <w:lang w:val="pt-BR"/>
        </w:rPr>
      </w:pPr>
      <w:r w:rsidRPr="0042331D">
        <w:rPr>
          <w:rStyle w:val="TijelotekstaChar"/>
          <w:lang w:val="pt-BR"/>
        </w:rPr>
        <w:t>O processo de reconhecimento de qualificações profissionais estrangeiras pelo sistema geral de reconhecimento é iniciado mediante pedido de reconhecimento das qualificações profissionais estrangeiras.</w:t>
      </w:r>
    </w:p>
    <w:p w14:paraId="7A952C88" w14:textId="7CD6EA04" w:rsidR="00052469" w:rsidRPr="0042331D" w:rsidRDefault="000E7E62">
      <w:pPr>
        <w:pStyle w:val="Tijeloteksta"/>
        <w:numPr>
          <w:ilvl w:val="0"/>
          <w:numId w:val="6"/>
        </w:numPr>
        <w:tabs>
          <w:tab w:val="left" w:pos="384"/>
        </w:tabs>
        <w:jc w:val="both"/>
        <w:rPr>
          <w:lang w:val="pt-BR"/>
        </w:rPr>
      </w:pPr>
      <w:r w:rsidRPr="0042331D">
        <w:rPr>
          <w:rStyle w:val="TijelotekstaChar"/>
          <w:lang w:val="pt-BR"/>
        </w:rPr>
        <w:t>Ao pedido devem ser anexados os seguintes documentos:</w:t>
      </w:r>
    </w:p>
    <w:p w14:paraId="47DA645A" w14:textId="09F7E8D9" w:rsidR="00052469" w:rsidRPr="0042331D" w:rsidRDefault="003D2320">
      <w:pPr>
        <w:pStyle w:val="Tijeloteksta"/>
        <w:numPr>
          <w:ilvl w:val="0"/>
          <w:numId w:val="7"/>
        </w:numPr>
        <w:tabs>
          <w:tab w:val="left" w:pos="1095"/>
        </w:tabs>
        <w:spacing w:after="0"/>
        <w:ind w:left="1100" w:hanging="360"/>
        <w:jc w:val="both"/>
        <w:rPr>
          <w:lang w:val="pt-BR"/>
        </w:rPr>
      </w:pPr>
      <w:r w:rsidRPr="0042331D">
        <w:rPr>
          <w:rStyle w:val="TijelotekstaChar"/>
          <w:lang w:val="pt-BR"/>
        </w:rPr>
        <w:t>documento de cidadania (certidão de nascimento, passaporte ou outro documento equivalente)</w:t>
      </w:r>
    </w:p>
    <w:p w14:paraId="2048AFC8" w14:textId="3729239B" w:rsidR="00052469" w:rsidRPr="0042331D" w:rsidRDefault="003D2320">
      <w:pPr>
        <w:pStyle w:val="Tijeloteksta"/>
        <w:numPr>
          <w:ilvl w:val="0"/>
          <w:numId w:val="7"/>
        </w:numPr>
        <w:tabs>
          <w:tab w:val="left" w:pos="1095"/>
        </w:tabs>
        <w:spacing w:after="0"/>
        <w:ind w:left="1100" w:hanging="360"/>
        <w:jc w:val="both"/>
        <w:rPr>
          <w:lang w:val="pt-BR"/>
        </w:rPr>
      </w:pPr>
      <w:r w:rsidRPr="0042331D">
        <w:rPr>
          <w:rStyle w:val="TijelotekstaChar"/>
          <w:lang w:val="pt-BR"/>
        </w:rPr>
        <w:t>prova de conclusão de educação prévia (certificado de conclusão do ensino médio – não é necessário se o diploma já contém informações sobre os requisitos de entrada no ensino superior)</w:t>
      </w:r>
    </w:p>
    <w:p w14:paraId="22704BA4" w14:textId="5B4D2AB1" w:rsidR="00FE396A" w:rsidRPr="0042331D" w:rsidRDefault="003D2320" w:rsidP="00FE396A">
      <w:pPr>
        <w:pStyle w:val="Tijeloteksta"/>
        <w:numPr>
          <w:ilvl w:val="0"/>
          <w:numId w:val="7"/>
        </w:numPr>
        <w:tabs>
          <w:tab w:val="left" w:pos="1095"/>
        </w:tabs>
        <w:spacing w:after="0"/>
        <w:ind w:left="1100" w:hanging="360"/>
        <w:jc w:val="both"/>
        <w:rPr>
          <w:rStyle w:val="TijelotekstaChar"/>
          <w:lang w:val="pt-BR"/>
        </w:rPr>
      </w:pPr>
      <w:r w:rsidRPr="0042331D">
        <w:rPr>
          <w:rStyle w:val="TijelotekstaChar"/>
          <w:lang w:val="pt-BR"/>
        </w:rPr>
        <w:t>prova de habilitação formal e outros documentos de educação formal concluída:</w:t>
      </w:r>
    </w:p>
    <w:p w14:paraId="3463E695" w14:textId="458246D8" w:rsidR="00FE396A" w:rsidRPr="0042331D" w:rsidRDefault="00FE396A" w:rsidP="00FE396A">
      <w:pPr>
        <w:pStyle w:val="Tijeloteksta"/>
        <w:numPr>
          <w:ilvl w:val="0"/>
          <w:numId w:val="8"/>
        </w:numPr>
        <w:tabs>
          <w:tab w:val="left" w:pos="1920"/>
        </w:tabs>
        <w:spacing w:after="40"/>
        <w:ind w:left="1940" w:hanging="360"/>
        <w:jc w:val="both"/>
        <w:rPr>
          <w:lang w:val="pt-BR"/>
        </w:rPr>
      </w:pPr>
      <w:r w:rsidRPr="0042331D">
        <w:rPr>
          <w:lang w:val="pt-BR"/>
        </w:rPr>
        <w:t>diploma de universidade estrangeira – faculdade de medicina</w:t>
      </w:r>
    </w:p>
    <w:p w14:paraId="608F951B" w14:textId="2AD1514F" w:rsidR="00FE396A" w:rsidRPr="0042331D" w:rsidRDefault="00E634A2" w:rsidP="00FE396A">
      <w:pPr>
        <w:pStyle w:val="Tijeloteksta"/>
        <w:numPr>
          <w:ilvl w:val="0"/>
          <w:numId w:val="8"/>
        </w:numPr>
        <w:tabs>
          <w:tab w:val="left" w:pos="1920"/>
        </w:tabs>
        <w:spacing w:after="40"/>
        <w:ind w:left="1940" w:hanging="360"/>
        <w:jc w:val="both"/>
        <w:rPr>
          <w:lang w:val="pt-BR"/>
        </w:rPr>
      </w:pPr>
      <w:r>
        <w:t>s</w:t>
      </w:r>
      <w:r w:rsidRPr="00E634A2">
        <w:rPr>
          <w:lang w:val="pt-BR"/>
        </w:rPr>
        <w:t>uplemento ao diploma, ou documento em que constem: a denominação oficial e a duração do programa de estudos, as condições de ingresso, o ano de matrícula, todas as disciplinas previstas no programa de estudos cuja conclusão conferiu ao requerente a qualificação de ensino superior e o título acadêmico de médico na jurisdição em que foi realizada a formação, a carga horária total de cada disciplina e a comprovação de que as disciplinas foram concluídas (nota)</w:t>
      </w:r>
    </w:p>
    <w:p w14:paraId="36848920" w14:textId="3B2904AA" w:rsidR="00FE396A" w:rsidRPr="0042331D" w:rsidRDefault="00E634A2" w:rsidP="00FE396A">
      <w:pPr>
        <w:pStyle w:val="Tijeloteksta"/>
        <w:numPr>
          <w:ilvl w:val="0"/>
          <w:numId w:val="8"/>
        </w:numPr>
        <w:tabs>
          <w:tab w:val="left" w:pos="1920"/>
        </w:tabs>
        <w:spacing w:after="40"/>
        <w:ind w:left="1940" w:hanging="360"/>
        <w:jc w:val="both"/>
        <w:rPr>
          <w:lang w:val="pt-BR"/>
        </w:rPr>
      </w:pPr>
      <w:r>
        <w:rPr>
          <w:lang w:val="pt-BR"/>
        </w:rPr>
        <w:t>p</w:t>
      </w:r>
      <w:r w:rsidRPr="00E634A2">
        <w:rPr>
          <w:lang w:val="pt-BR"/>
        </w:rPr>
        <w:t>lano e programa completos de estudos da instituição de ensino superior estrangeira – faculdade de medicina, autenticados pela própria instituição de ensino superior, como confirmação de que esse plano e programa de estudos estavam em vigor para o requerente do reconhecimento da qualificação profissional estrangeira e de que, em conformidade com eles, foi obtida a qualificação de ensino superior de médico</w:t>
      </w:r>
    </w:p>
    <w:p w14:paraId="02ECC368" w14:textId="798C197B" w:rsidR="00FE396A" w:rsidRPr="0042331D" w:rsidRDefault="00E634A2" w:rsidP="00FE396A">
      <w:pPr>
        <w:pStyle w:val="Tijeloteksta"/>
        <w:numPr>
          <w:ilvl w:val="0"/>
          <w:numId w:val="8"/>
        </w:numPr>
        <w:tabs>
          <w:tab w:val="left" w:pos="1920"/>
        </w:tabs>
        <w:spacing w:after="40"/>
        <w:ind w:left="1940" w:hanging="380"/>
        <w:jc w:val="both"/>
        <w:rPr>
          <w:lang w:val="pt-BR"/>
        </w:rPr>
      </w:pPr>
      <w:r>
        <w:rPr>
          <w:lang w:val="pt-BR"/>
        </w:rPr>
        <w:t>o</w:t>
      </w:r>
      <w:r w:rsidRPr="00E634A2">
        <w:rPr>
          <w:lang w:val="pt-BR"/>
        </w:rPr>
        <w:t>s requerentes que, durante os estudos, transferiram-se de uma instituição de ensino superior para outra, além da documentação acima mencionada, são obrigados a apresentar adicionalmente:</w:t>
      </w:r>
    </w:p>
    <w:p w14:paraId="5863602F" w14:textId="0A3A8AD5" w:rsidR="00FE396A" w:rsidRPr="0042331D" w:rsidRDefault="00FE396A" w:rsidP="00FE396A">
      <w:pPr>
        <w:pStyle w:val="Tijeloteksta"/>
        <w:numPr>
          <w:ilvl w:val="3"/>
          <w:numId w:val="47"/>
        </w:numPr>
        <w:tabs>
          <w:tab w:val="left" w:pos="1920"/>
        </w:tabs>
        <w:spacing w:after="40"/>
        <w:jc w:val="both"/>
        <w:rPr>
          <w:rStyle w:val="TijelotekstaChar"/>
          <w:lang w:val="pt-BR"/>
        </w:rPr>
      </w:pPr>
      <w:r w:rsidRPr="0042331D">
        <w:rPr>
          <w:rStyle w:val="TijelotekstaChar"/>
          <w:lang w:val="pt-BR"/>
        </w:rPr>
        <w:t>histórico escolar das duas instituições de ensino superior</w:t>
      </w:r>
    </w:p>
    <w:p w14:paraId="4CE26BBE" w14:textId="78D30813" w:rsidR="00FE396A" w:rsidRPr="0042331D" w:rsidRDefault="00FE396A" w:rsidP="00FE396A">
      <w:pPr>
        <w:pStyle w:val="Tijeloteksta"/>
        <w:numPr>
          <w:ilvl w:val="3"/>
          <w:numId w:val="47"/>
        </w:numPr>
        <w:spacing w:after="100" w:line="286" w:lineRule="auto"/>
        <w:jc w:val="both"/>
        <w:rPr>
          <w:rStyle w:val="TijelotekstaChar"/>
          <w:lang w:val="pt-BR"/>
        </w:rPr>
      </w:pPr>
      <w:r w:rsidRPr="0042331D">
        <w:rPr>
          <w:rStyle w:val="TijelotekstaChar"/>
          <w:lang w:val="pt-BR"/>
        </w:rPr>
        <w:t>a declaração de desligamento da instituição de ensino superior</w:t>
      </w:r>
    </w:p>
    <w:p w14:paraId="15A9726F" w14:textId="254C3E74" w:rsidR="00052469" w:rsidRPr="0042331D" w:rsidRDefault="00FE396A" w:rsidP="00FE396A">
      <w:pPr>
        <w:pStyle w:val="Tijeloteksta"/>
        <w:numPr>
          <w:ilvl w:val="3"/>
          <w:numId w:val="47"/>
        </w:numPr>
        <w:spacing w:after="100" w:line="286" w:lineRule="auto"/>
        <w:jc w:val="both"/>
        <w:rPr>
          <w:lang w:val="pt-BR"/>
        </w:rPr>
      </w:pPr>
      <w:r w:rsidRPr="0042331D">
        <w:rPr>
          <w:rStyle w:val="TijelotekstaChar"/>
          <w:lang w:val="pt-BR"/>
        </w:rPr>
        <w:t>a autorização de transferência e matrícula em outra instituição de ensino superior</w:t>
      </w:r>
    </w:p>
    <w:p w14:paraId="2097DADA" w14:textId="2562E842" w:rsidR="00052469" w:rsidRPr="0042331D" w:rsidRDefault="00892617">
      <w:pPr>
        <w:pStyle w:val="Tijeloteksta"/>
        <w:numPr>
          <w:ilvl w:val="0"/>
          <w:numId w:val="7"/>
        </w:numPr>
        <w:tabs>
          <w:tab w:val="left" w:pos="1135"/>
        </w:tabs>
        <w:spacing w:after="0"/>
        <w:ind w:firstLine="740"/>
        <w:jc w:val="both"/>
        <w:rPr>
          <w:lang w:val="pt-BR"/>
        </w:rPr>
      </w:pPr>
      <w:r w:rsidRPr="0042331D">
        <w:rPr>
          <w:rStyle w:val="TijelotekstaChar"/>
          <w:lang w:val="pt-BR"/>
        </w:rPr>
        <w:t>comprovante de aprovação no exame profissional:</w:t>
      </w:r>
    </w:p>
    <w:p w14:paraId="7CB39E74" w14:textId="7BBFD776" w:rsidR="00052469" w:rsidRPr="0042331D" w:rsidRDefault="00892617">
      <w:pPr>
        <w:pStyle w:val="Tijeloteksta"/>
        <w:numPr>
          <w:ilvl w:val="0"/>
          <w:numId w:val="9"/>
        </w:numPr>
        <w:tabs>
          <w:tab w:val="left" w:pos="1875"/>
        </w:tabs>
        <w:spacing w:after="0"/>
        <w:ind w:left="1820" w:hanging="360"/>
        <w:jc w:val="both"/>
        <w:rPr>
          <w:lang w:val="pt-BR"/>
        </w:rPr>
      </w:pPr>
      <w:r w:rsidRPr="0042331D">
        <w:rPr>
          <w:rStyle w:val="TijelotekstaChar"/>
          <w:lang w:val="pt-BR"/>
        </w:rPr>
        <w:t>plano e programa do estágio probatório (caderneta de estágio ou plano e programa emitido pela autoridade estrangeira competente, ou extrato do diário oficial estrangeiro vigente no período de realização do estágio probatório pelo requerente)</w:t>
      </w:r>
    </w:p>
    <w:p w14:paraId="11D2D05D" w14:textId="17A1D542" w:rsidR="00052469" w:rsidRPr="0042331D" w:rsidRDefault="00892617">
      <w:pPr>
        <w:pStyle w:val="Tijeloteksta"/>
        <w:numPr>
          <w:ilvl w:val="0"/>
          <w:numId w:val="9"/>
        </w:numPr>
        <w:tabs>
          <w:tab w:val="left" w:pos="1875"/>
        </w:tabs>
        <w:spacing w:after="0"/>
        <w:ind w:left="1460"/>
        <w:jc w:val="both"/>
        <w:rPr>
          <w:lang w:val="pt-BR"/>
        </w:rPr>
      </w:pPr>
      <w:r w:rsidRPr="0042331D">
        <w:rPr>
          <w:rStyle w:val="TijelotekstaChar"/>
          <w:lang w:val="pt-BR"/>
        </w:rPr>
        <w:t>certificado/comprovante de aprovação no exame probatório</w:t>
      </w:r>
    </w:p>
    <w:p w14:paraId="5F903BF3" w14:textId="129F78C2" w:rsidR="00052469" w:rsidRPr="0042331D" w:rsidRDefault="00892617">
      <w:pPr>
        <w:pStyle w:val="Tijeloteksta"/>
        <w:numPr>
          <w:ilvl w:val="0"/>
          <w:numId w:val="7"/>
        </w:numPr>
        <w:tabs>
          <w:tab w:val="left" w:pos="1135"/>
        </w:tabs>
        <w:spacing w:after="0"/>
        <w:ind w:firstLine="740"/>
        <w:jc w:val="both"/>
        <w:rPr>
          <w:lang w:val="pt-BR"/>
        </w:rPr>
      </w:pPr>
      <w:r w:rsidRPr="0042331D">
        <w:rPr>
          <w:rStyle w:val="TijelotekstaChar"/>
          <w:lang w:val="pt-BR"/>
        </w:rPr>
        <w:t>comprovante de qualificação profissional:</w:t>
      </w:r>
    </w:p>
    <w:p w14:paraId="08968F06" w14:textId="77777777" w:rsidR="00892617" w:rsidRPr="0042331D" w:rsidRDefault="00892617" w:rsidP="00892617">
      <w:pPr>
        <w:pStyle w:val="Tijeloteksta"/>
        <w:numPr>
          <w:ilvl w:val="0"/>
          <w:numId w:val="10"/>
        </w:numPr>
        <w:spacing w:after="0"/>
        <w:ind w:left="1820" w:hanging="402"/>
        <w:jc w:val="both"/>
        <w:rPr>
          <w:lang w:val="pt-BR"/>
        </w:rPr>
      </w:pPr>
      <w:r w:rsidRPr="0042331D">
        <w:rPr>
          <w:lang w:val="pt-BR"/>
        </w:rPr>
        <w:t xml:space="preserve">plano e programa do estágio de especialização (documento de </w:t>
      </w:r>
      <w:r w:rsidRPr="0042331D">
        <w:rPr>
          <w:rStyle w:val="TijelotekstaChar"/>
          <w:lang w:val="pt-BR"/>
        </w:rPr>
        <w:t>acompanhamento do estágio de especialização ou plano e programa emitido</w:t>
      </w:r>
      <w:r w:rsidRPr="0042331D">
        <w:rPr>
          <w:lang w:val="pt-BR"/>
        </w:rPr>
        <w:t xml:space="preserve"> pela autoridade estrangeira competente, ou extrato do diário oficial estrangeiro vigente durante o período de realização do estágio de especialização pelo requerente)</w:t>
      </w:r>
    </w:p>
    <w:p w14:paraId="3ED7EB6E" w14:textId="12F98790" w:rsidR="00052469" w:rsidRPr="0042331D" w:rsidRDefault="00892617" w:rsidP="00892617">
      <w:pPr>
        <w:pStyle w:val="Tijeloteksta"/>
        <w:numPr>
          <w:ilvl w:val="0"/>
          <w:numId w:val="10"/>
        </w:numPr>
        <w:spacing w:after="0"/>
        <w:ind w:left="1820" w:hanging="402"/>
        <w:jc w:val="both"/>
        <w:rPr>
          <w:lang w:val="pt-BR"/>
        </w:rPr>
      </w:pPr>
      <w:r w:rsidRPr="0042331D">
        <w:rPr>
          <w:rStyle w:val="TijelotekstaChar"/>
          <w:lang w:val="pt-BR"/>
        </w:rPr>
        <w:t>certificado/comprovante de aprovação no exame de especialização</w:t>
      </w:r>
    </w:p>
    <w:p w14:paraId="6A91AD4F" w14:textId="77777777" w:rsidR="00892617" w:rsidRPr="0042331D" w:rsidRDefault="00892617" w:rsidP="00892617">
      <w:pPr>
        <w:pStyle w:val="Tijeloteksta"/>
        <w:numPr>
          <w:ilvl w:val="0"/>
          <w:numId w:val="7"/>
        </w:numPr>
        <w:tabs>
          <w:tab w:val="left" w:pos="1075"/>
        </w:tabs>
        <w:spacing w:after="0"/>
        <w:ind w:left="1100" w:hanging="360"/>
        <w:jc w:val="both"/>
        <w:rPr>
          <w:lang w:val="pt-BR"/>
        </w:rPr>
      </w:pPr>
      <w:r w:rsidRPr="0042331D">
        <w:rPr>
          <w:rStyle w:val="TijelotekstaChar"/>
          <w:lang w:val="pt-BR"/>
        </w:rPr>
        <w:t>prova de formação profissional (certificado de pós-graduação ou curso de aperfeiçoamento)</w:t>
      </w:r>
    </w:p>
    <w:p w14:paraId="6460EF2D" w14:textId="3E4B51E6" w:rsidR="00052469" w:rsidRPr="0042331D" w:rsidRDefault="00892617" w:rsidP="00892617">
      <w:pPr>
        <w:pStyle w:val="Tijeloteksta"/>
        <w:numPr>
          <w:ilvl w:val="0"/>
          <w:numId w:val="7"/>
        </w:numPr>
        <w:tabs>
          <w:tab w:val="left" w:pos="1075"/>
        </w:tabs>
        <w:spacing w:after="0"/>
        <w:ind w:left="1100" w:hanging="360"/>
        <w:jc w:val="both"/>
        <w:rPr>
          <w:lang w:val="pt-BR"/>
        </w:rPr>
      </w:pPr>
      <w:r w:rsidRPr="0042331D">
        <w:rPr>
          <w:rStyle w:val="TijelotekstaChar"/>
          <w:lang w:val="pt-BR"/>
        </w:rPr>
        <w:t>prova de experiência profissional (certificado do empregador ou carteira de trabalho)</w:t>
      </w:r>
    </w:p>
    <w:p w14:paraId="75C48BDA" w14:textId="23E0AE59" w:rsidR="00052469" w:rsidRPr="0042331D" w:rsidRDefault="00892617">
      <w:pPr>
        <w:pStyle w:val="Tijeloteksta"/>
        <w:numPr>
          <w:ilvl w:val="0"/>
          <w:numId w:val="7"/>
        </w:numPr>
        <w:tabs>
          <w:tab w:val="left" w:pos="1091"/>
        </w:tabs>
        <w:spacing w:after="0"/>
        <w:ind w:left="1100" w:hanging="360"/>
        <w:jc w:val="both"/>
        <w:rPr>
          <w:lang w:val="pt-BR"/>
        </w:rPr>
      </w:pPr>
      <w:r w:rsidRPr="0042331D">
        <w:rPr>
          <w:rStyle w:val="TijelotekstaChar"/>
          <w:lang w:val="pt-BR"/>
        </w:rPr>
        <w:t>certificado de competências (certificados de aquisição de competências dentro da sua qualificação profissional)</w:t>
      </w:r>
    </w:p>
    <w:p w14:paraId="103629BA" w14:textId="18B7C3B0" w:rsidR="00052469" w:rsidRPr="0042331D" w:rsidRDefault="00892617">
      <w:pPr>
        <w:pStyle w:val="Tijeloteksta"/>
        <w:numPr>
          <w:ilvl w:val="0"/>
          <w:numId w:val="7"/>
        </w:numPr>
        <w:tabs>
          <w:tab w:val="left" w:pos="1091"/>
        </w:tabs>
        <w:spacing w:after="140"/>
        <w:ind w:left="1100" w:hanging="360"/>
        <w:jc w:val="both"/>
        <w:rPr>
          <w:lang w:val="pt-BR"/>
        </w:rPr>
      </w:pPr>
      <w:r w:rsidRPr="0042331D">
        <w:rPr>
          <w:rStyle w:val="TijelotekstaChar"/>
          <w:lang w:val="pt-BR"/>
        </w:rPr>
        <w:t>outros documentos (comprovação de filiação à câmara médica estrangeira, certidão de casamento ou decisão oficial em caso de mudança de nome/sobrenome)</w:t>
      </w:r>
    </w:p>
    <w:p w14:paraId="08EB7E0B" w14:textId="7E95257E" w:rsidR="00052469" w:rsidRPr="0042331D" w:rsidRDefault="00892617">
      <w:pPr>
        <w:pStyle w:val="Tijeloteksta"/>
        <w:numPr>
          <w:ilvl w:val="0"/>
          <w:numId w:val="7"/>
        </w:numPr>
        <w:tabs>
          <w:tab w:val="left" w:pos="1152"/>
        </w:tabs>
        <w:spacing w:after="0"/>
        <w:ind w:left="1100" w:hanging="360"/>
        <w:jc w:val="both"/>
        <w:rPr>
          <w:lang w:val="pt-BR"/>
        </w:rPr>
      </w:pPr>
      <w:r w:rsidRPr="0042331D">
        <w:rPr>
          <w:rStyle w:val="TijelotekstaChar"/>
          <w:lang w:val="pt-BR"/>
        </w:rPr>
        <w:t>comprovante de pagamento da taxa referente às despesas do processo de reconhecimento de qualificações profissionais estrangeiras</w:t>
      </w:r>
    </w:p>
    <w:p w14:paraId="4D4F2BAF" w14:textId="713EC592" w:rsidR="00052469" w:rsidRPr="0042331D" w:rsidRDefault="00892617">
      <w:pPr>
        <w:pStyle w:val="Tijeloteksta"/>
        <w:numPr>
          <w:ilvl w:val="0"/>
          <w:numId w:val="7"/>
        </w:numPr>
        <w:tabs>
          <w:tab w:val="left" w:pos="1132"/>
        </w:tabs>
        <w:spacing w:after="0"/>
        <w:ind w:firstLine="720"/>
        <w:jc w:val="both"/>
        <w:rPr>
          <w:lang w:val="pt-BR"/>
        </w:rPr>
      </w:pPr>
      <w:r w:rsidRPr="0042331D">
        <w:rPr>
          <w:lang w:val="pt-BR"/>
        </w:rPr>
        <w:t>c</w:t>
      </w:r>
      <w:r w:rsidRPr="0042331D">
        <w:rPr>
          <w:rStyle w:val="TijelotekstaChar"/>
          <w:lang w:val="pt-BR"/>
        </w:rPr>
        <w:t>omprovante de pagamento da taxa administrativa</w:t>
      </w:r>
    </w:p>
    <w:p w14:paraId="714BC18C" w14:textId="7B5FA926" w:rsidR="00052469" w:rsidRPr="0042331D" w:rsidRDefault="00892617">
      <w:pPr>
        <w:pStyle w:val="Tijeloteksta"/>
        <w:numPr>
          <w:ilvl w:val="0"/>
          <w:numId w:val="7"/>
        </w:numPr>
        <w:tabs>
          <w:tab w:val="left" w:pos="1137"/>
        </w:tabs>
        <w:spacing w:after="460" w:line="254" w:lineRule="auto"/>
        <w:ind w:left="720" w:firstLine="20"/>
        <w:jc w:val="both"/>
        <w:rPr>
          <w:lang w:val="pt-BR"/>
        </w:rPr>
      </w:pPr>
      <w:r w:rsidRPr="0042331D">
        <w:rPr>
          <w:rStyle w:val="TijelotekstaChar"/>
          <w:lang w:val="pt-BR"/>
        </w:rPr>
        <w:t>declaração pela qual o requerente que se encontra no exterior nomeia um procurador para recebimento de correspondências com residência na RC, no caso de não possuir pessoa autorizada para representá-lo na RC</w:t>
      </w:r>
      <w:r w:rsidRPr="0042331D">
        <w:rPr>
          <w:rStyle w:val="TijelotekstaChar"/>
          <w:rFonts w:ascii="Calibri" w:eastAsia="Calibri" w:hAnsi="Calibri" w:cs="Calibri"/>
          <w:lang w:val="pt-BR"/>
        </w:rPr>
        <w:t>.</w:t>
      </w:r>
    </w:p>
    <w:p w14:paraId="024D040F" w14:textId="04719F04" w:rsidR="00052469" w:rsidRPr="0042331D" w:rsidRDefault="00892617">
      <w:pPr>
        <w:pStyle w:val="Tijeloteksta"/>
        <w:numPr>
          <w:ilvl w:val="0"/>
          <w:numId w:val="6"/>
        </w:numPr>
        <w:tabs>
          <w:tab w:val="left" w:pos="407"/>
        </w:tabs>
        <w:spacing w:after="580"/>
        <w:jc w:val="both"/>
        <w:rPr>
          <w:lang w:val="pt-BR"/>
        </w:rPr>
      </w:pPr>
      <w:r w:rsidRPr="0042331D">
        <w:rPr>
          <w:rStyle w:val="TijelotekstaChar"/>
          <w:lang w:val="pt-BR"/>
        </w:rPr>
        <w:t xml:space="preserve">Em caso de dúvida justificada quanto à autenticidade da documentação referida no parágrafo 2 deste artigo, a CMC poderá solicitar às autoridades competentes a verificação da autenticidade das provas e da acreditação das instituições de ensino superior e dos programas de formação, por meio da Agência de Ciência e Ensino Superior </w:t>
      </w:r>
      <w:r w:rsidR="00B203CA">
        <w:rPr>
          <w:rStyle w:val="TijelotekstaChar"/>
          <w:lang w:val="pt-BR"/>
        </w:rPr>
        <w:t>do</w:t>
      </w:r>
      <w:r w:rsidRPr="0042331D">
        <w:rPr>
          <w:rStyle w:val="TijelotekstaChar"/>
          <w:lang w:val="pt-BR"/>
        </w:rPr>
        <w:t xml:space="preserve"> Escritório ENIC/NARIC. A verificação também poderá ser realizada através do sistema de informação do mercado interno (</w:t>
      </w:r>
      <w:r w:rsidR="00B203CA">
        <w:rPr>
          <w:rStyle w:val="TijelotekstaChar"/>
          <w:lang w:val="pt-BR"/>
        </w:rPr>
        <w:t>daqui em adiante</w:t>
      </w:r>
      <w:r w:rsidRPr="0042331D">
        <w:rPr>
          <w:rStyle w:val="TijelotekstaChar"/>
          <w:lang w:val="pt-BR"/>
        </w:rPr>
        <w:t>: sistema IMI), em conformidade com as disposições da Lei sobre profissões regulamentadas e reconhecimento de qualificações profissionais.</w:t>
      </w:r>
    </w:p>
    <w:p w14:paraId="5FA17203" w14:textId="5C2E9ADF" w:rsidR="00052469" w:rsidRPr="0042331D" w:rsidRDefault="00D67FE1">
      <w:pPr>
        <w:pStyle w:val="Tijeloteksta"/>
        <w:jc w:val="center"/>
        <w:rPr>
          <w:lang w:val="pt-BR"/>
        </w:rPr>
      </w:pPr>
      <w:r w:rsidRPr="0042331D">
        <w:rPr>
          <w:rStyle w:val="TijelotekstaChar"/>
          <w:lang w:val="pt-BR"/>
        </w:rPr>
        <w:t>Artigo 8</w:t>
      </w:r>
    </w:p>
    <w:p w14:paraId="74E74A90" w14:textId="0771ED51" w:rsidR="00D67FE1" w:rsidRPr="0042331D" w:rsidRDefault="00D67FE1" w:rsidP="000C0543">
      <w:pPr>
        <w:pStyle w:val="Tijeloteksta"/>
        <w:numPr>
          <w:ilvl w:val="0"/>
          <w:numId w:val="11"/>
        </w:numPr>
        <w:tabs>
          <w:tab w:val="left" w:pos="402"/>
        </w:tabs>
        <w:spacing w:after="360"/>
        <w:jc w:val="both"/>
        <w:rPr>
          <w:lang w:val="pt-BR"/>
        </w:rPr>
      </w:pPr>
      <w:r w:rsidRPr="0042331D">
        <w:rPr>
          <w:lang w:val="pt-BR"/>
        </w:rPr>
        <w:t>A CMC é obrigada, no prazo de um mês a contar da data de recebimento do pedido referido no artigo 7 deste Regulamento, a confirmar o seu recebimento ao requerente.</w:t>
      </w:r>
    </w:p>
    <w:p w14:paraId="6824626F" w14:textId="0491D1D0" w:rsidR="00D67FE1" w:rsidRPr="0042331D" w:rsidRDefault="00D67FE1" w:rsidP="000C0543">
      <w:pPr>
        <w:pStyle w:val="Tijeloteksta"/>
        <w:numPr>
          <w:ilvl w:val="0"/>
          <w:numId w:val="11"/>
        </w:numPr>
        <w:tabs>
          <w:tab w:val="left" w:pos="402"/>
        </w:tabs>
        <w:spacing w:after="360"/>
        <w:jc w:val="both"/>
        <w:rPr>
          <w:lang w:val="pt-BR"/>
        </w:rPr>
      </w:pPr>
      <w:r w:rsidRPr="0042331D">
        <w:rPr>
          <w:lang w:val="pt-BR"/>
        </w:rPr>
        <w:t>Caso o pedido esteja incompleto, ou contenha alguma deficiência que impeça o seu processamento, a autoridade competente, no prazo de 15 dias a contar do recebimento de tal pedido, convocará o requerente a complementá-lo no prazo de 90 dias.</w:t>
      </w:r>
    </w:p>
    <w:p w14:paraId="56E11A5C" w14:textId="178EF2AC" w:rsidR="00D67FE1" w:rsidRPr="0042331D" w:rsidRDefault="00D67FE1" w:rsidP="000C0543">
      <w:pPr>
        <w:pStyle w:val="Tijeloteksta"/>
        <w:numPr>
          <w:ilvl w:val="0"/>
          <w:numId w:val="11"/>
        </w:numPr>
        <w:tabs>
          <w:tab w:val="left" w:pos="402"/>
        </w:tabs>
        <w:spacing w:after="360"/>
        <w:jc w:val="both"/>
        <w:rPr>
          <w:lang w:val="pt-BR"/>
        </w:rPr>
      </w:pPr>
      <w:r w:rsidRPr="0042331D">
        <w:rPr>
          <w:lang w:val="pt-BR"/>
        </w:rPr>
        <w:t>Se o requerente não atender à convocação e o pedido não puder ser processado, a autoridade competente rejeitará o pedido por meio de decisão, considerando-o incompleto.</w:t>
      </w:r>
    </w:p>
    <w:p w14:paraId="7E6081AC" w14:textId="7C5F065F" w:rsidR="00D67FE1" w:rsidRPr="0042331D" w:rsidRDefault="00D67FE1" w:rsidP="000C0543">
      <w:pPr>
        <w:pStyle w:val="Tijeloteksta"/>
        <w:numPr>
          <w:ilvl w:val="0"/>
          <w:numId w:val="11"/>
        </w:numPr>
        <w:tabs>
          <w:tab w:val="left" w:pos="402"/>
        </w:tabs>
        <w:spacing w:after="360"/>
        <w:jc w:val="both"/>
        <w:rPr>
          <w:lang w:val="pt-BR"/>
        </w:rPr>
      </w:pPr>
      <w:r w:rsidRPr="0042331D">
        <w:rPr>
          <w:lang w:val="pt-BR"/>
        </w:rPr>
        <w:t>Contra a decisão referida no parágrafo 3 deste artigo cabe recurso ao ministério competente para a saúde. O recurso deve ser apresentado no prazo de 15 dias a contar da data de recebimento da cópia escrita da decisão.</w:t>
      </w:r>
    </w:p>
    <w:p w14:paraId="5F1726D1" w14:textId="7E4F68E2" w:rsidR="00052469" w:rsidRPr="0042331D" w:rsidRDefault="00D67FE1">
      <w:pPr>
        <w:pStyle w:val="Tijeloteksta"/>
        <w:jc w:val="center"/>
        <w:rPr>
          <w:lang w:val="pt-BR"/>
        </w:rPr>
      </w:pPr>
      <w:r w:rsidRPr="0042331D">
        <w:rPr>
          <w:rStyle w:val="TijelotekstaChar"/>
          <w:lang w:val="pt-BR"/>
        </w:rPr>
        <w:t>Artigo 9</w:t>
      </w:r>
    </w:p>
    <w:p w14:paraId="60EF7578" w14:textId="221F4912" w:rsidR="00D67FE1" w:rsidRPr="0042331D" w:rsidRDefault="00D67FE1" w:rsidP="00D67FE1">
      <w:pPr>
        <w:pStyle w:val="Tijeloteksta"/>
        <w:numPr>
          <w:ilvl w:val="0"/>
          <w:numId w:val="12"/>
        </w:numPr>
        <w:tabs>
          <w:tab w:val="left" w:pos="370"/>
        </w:tabs>
        <w:jc w:val="both"/>
        <w:rPr>
          <w:lang w:val="pt-BR"/>
        </w:rPr>
      </w:pPr>
      <w:r w:rsidRPr="0042331D">
        <w:rPr>
          <w:lang w:val="pt-BR"/>
        </w:rPr>
        <w:t>O procedimento é considerado iniciado no momento da entrega de um pedido devidamente apresentado à CMC.</w:t>
      </w:r>
    </w:p>
    <w:p w14:paraId="73B4D7BC" w14:textId="75A847FF"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Caso a documentação seja apresentada juntamente com o pedido, no processo de reconhecimento de qualificações profissionais estrangeiras, avalia-se a documentação apresentada e compara-se a documentação relevante sobre as qualificações profissionais do requerente com as qualificações profissionais que, na </w:t>
      </w:r>
      <w:r w:rsidR="00684249" w:rsidRPr="0042331D">
        <w:rPr>
          <w:lang w:val="pt-BR"/>
        </w:rPr>
        <w:t>RC</w:t>
      </w:r>
      <w:r w:rsidRPr="0042331D">
        <w:rPr>
          <w:lang w:val="pt-BR"/>
        </w:rPr>
        <w:t>, são exigidas para o exercício da profissão regulamentada de médico.</w:t>
      </w:r>
    </w:p>
    <w:p w14:paraId="02D65C44" w14:textId="037065D8"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A comparação da documentação relevante refere-se à comparação dos programas de estudo com os programas válidos na </w:t>
      </w:r>
      <w:r w:rsidR="00684249" w:rsidRPr="0042331D">
        <w:rPr>
          <w:lang w:val="pt-BR"/>
        </w:rPr>
        <w:t>RC</w:t>
      </w:r>
      <w:r w:rsidRPr="0042331D">
        <w:rPr>
          <w:lang w:val="pt-BR"/>
        </w:rPr>
        <w:t>.</w:t>
      </w:r>
    </w:p>
    <w:p w14:paraId="749E416A" w14:textId="1C92A54B"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A comparação mencionada no parágrafo 3 deste artigo é realizada com base na avaliação profissional obrigatoriamente obtida dos programas de estudo por especialistas competentes que, no âmbito de sua atividade principal, realizam a formação ou capacitação de pessoal para a profissão regulamentada de médico na </w:t>
      </w:r>
      <w:r w:rsidR="00684249" w:rsidRPr="0042331D">
        <w:rPr>
          <w:lang w:val="pt-BR"/>
        </w:rPr>
        <w:t>RC</w:t>
      </w:r>
      <w:r w:rsidRPr="0042331D">
        <w:rPr>
          <w:lang w:val="pt-BR"/>
        </w:rPr>
        <w:t xml:space="preserve"> ou que tenham participado da elaboração dos programas de formação ou capacitação de pessoal para a referida profissão regulamentada na </w:t>
      </w:r>
      <w:r w:rsidR="0042331D">
        <w:rPr>
          <w:lang w:val="pt-BR"/>
        </w:rPr>
        <w:t>RC</w:t>
      </w:r>
      <w:r w:rsidRPr="0042331D">
        <w:rPr>
          <w:lang w:val="pt-BR"/>
        </w:rPr>
        <w:t>.</w:t>
      </w:r>
    </w:p>
    <w:p w14:paraId="76407FDC" w14:textId="6A139110"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O especialista responsável pela avaliação dos programas de estudo é designado pela CMC a partir da lista de especialistas nomeados pelos reitores das faculdades de medicina na </w:t>
      </w:r>
      <w:r w:rsidR="00684249" w:rsidRPr="0042331D">
        <w:rPr>
          <w:lang w:val="pt-BR"/>
        </w:rPr>
        <w:t>RC</w:t>
      </w:r>
      <w:r w:rsidRPr="0042331D">
        <w:rPr>
          <w:lang w:val="pt-BR"/>
        </w:rPr>
        <w:t>. O especialista que realiza a avaliação dos programas de estudo tem direito a remuneração conforme decisão específica do Conselho Executivo da CMC.</w:t>
      </w:r>
    </w:p>
    <w:p w14:paraId="23761189" w14:textId="4E7B9347"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A obrigatoriedade de obtenção da avaliação profissional dos programas de estudo mencionada no parágrafo 4 deste artigo não exclui a possibilidade de obter um ou mais pareceres adicionais de especialistas competentes.</w:t>
      </w:r>
    </w:p>
    <w:p w14:paraId="038B7CEE" w14:textId="602C0456"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Os especialistas competentes referidos nos parágrafos 5 e 6 deste artigo são obrigados a fornecer a avaliação profissional dos programas de estudo no prazo de 15 dias a contar da data em que a avaliação foi solicitada.</w:t>
      </w:r>
    </w:p>
    <w:p w14:paraId="39365224" w14:textId="583D9107" w:rsidR="00D67FE1" w:rsidRPr="0042331D" w:rsidRDefault="00D67FE1" w:rsidP="00D67FE1">
      <w:pPr>
        <w:pStyle w:val="Tijeloteksta"/>
        <w:numPr>
          <w:ilvl w:val="0"/>
          <w:numId w:val="12"/>
        </w:numPr>
        <w:tabs>
          <w:tab w:val="left" w:pos="370"/>
        </w:tabs>
        <w:jc w:val="both"/>
        <w:rPr>
          <w:lang w:val="pt-BR"/>
        </w:rPr>
      </w:pPr>
      <w:r w:rsidRPr="0042331D">
        <w:rPr>
          <w:lang w:val="pt-BR"/>
        </w:rPr>
        <w:t xml:space="preserve"> A avaliação profissional e o parecer dos especialistas não são vinculativos.</w:t>
      </w:r>
    </w:p>
    <w:p w14:paraId="34D71668" w14:textId="642FD5F8" w:rsidR="00052469" w:rsidRPr="0042331D" w:rsidRDefault="00D67FE1">
      <w:pPr>
        <w:pStyle w:val="Tijeloteksta"/>
        <w:jc w:val="center"/>
        <w:rPr>
          <w:lang w:val="pt-BR"/>
        </w:rPr>
      </w:pPr>
      <w:r w:rsidRPr="0042331D">
        <w:rPr>
          <w:rStyle w:val="TijelotekstaChar"/>
          <w:lang w:val="pt-BR"/>
        </w:rPr>
        <w:t>Artigo 10</w:t>
      </w:r>
    </w:p>
    <w:p w14:paraId="44EF6F10" w14:textId="31476951" w:rsidR="00D67FE1" w:rsidRPr="0042331D" w:rsidRDefault="00D67FE1" w:rsidP="00D67FE1">
      <w:pPr>
        <w:pStyle w:val="Tijeloteksta"/>
        <w:numPr>
          <w:ilvl w:val="0"/>
          <w:numId w:val="13"/>
        </w:numPr>
        <w:tabs>
          <w:tab w:val="left" w:pos="380"/>
        </w:tabs>
        <w:jc w:val="both"/>
        <w:rPr>
          <w:lang w:val="pt-BR"/>
        </w:rPr>
      </w:pPr>
      <w:r w:rsidRPr="0042331D">
        <w:rPr>
          <w:lang w:val="pt-BR"/>
        </w:rPr>
        <w:t xml:space="preserve">Caso, durante a avaliação e comparação da documentação mencionada no artigo 9 deste Regulamento, seja constatado que o programa de estudo ou a documentação sobre as qualificações profissionais do requerente está em conformidade com as qualificações profissionais exigidas na </w:t>
      </w:r>
      <w:r w:rsidR="00684249" w:rsidRPr="0042331D">
        <w:rPr>
          <w:lang w:val="pt-BR"/>
        </w:rPr>
        <w:t>RC</w:t>
      </w:r>
      <w:r w:rsidRPr="0042331D">
        <w:rPr>
          <w:lang w:val="pt-BR"/>
        </w:rPr>
        <w:t xml:space="preserve"> para o exercício da profissão regulamentada de médico, a CMC emitirá uma decisão de reconhecimento da qualificação profissional estrangeira, desde que o requerente cumpra todas as demais condições estabelecidas na Lei sobre profissões regulamentadas e reconhecimento de qualificações profissionais estrangeiras.</w:t>
      </w:r>
    </w:p>
    <w:p w14:paraId="5B121723" w14:textId="463F547E" w:rsidR="00D67FE1" w:rsidRPr="0042331D" w:rsidRDefault="00D67FE1" w:rsidP="00D67FE1">
      <w:pPr>
        <w:pStyle w:val="Tijeloteksta"/>
        <w:numPr>
          <w:ilvl w:val="0"/>
          <w:numId w:val="13"/>
        </w:numPr>
        <w:tabs>
          <w:tab w:val="left" w:pos="380"/>
        </w:tabs>
        <w:jc w:val="both"/>
        <w:rPr>
          <w:lang w:val="pt-BR"/>
        </w:rPr>
      </w:pPr>
      <w:r w:rsidRPr="0042331D">
        <w:rPr>
          <w:lang w:val="pt-BR"/>
        </w:rPr>
        <w:t xml:space="preserve">A conformidade do programa de estudo significa que o programa é compatível quanto ao conteúdo das disciplinas, e que a diferença na carga horária não exceda 20% em relação à menor carga horária da mesma disciplina nos programas de estudo válidos na </w:t>
      </w:r>
      <w:r w:rsidR="00684249" w:rsidRPr="0042331D">
        <w:rPr>
          <w:lang w:val="pt-BR"/>
        </w:rPr>
        <w:t>RC</w:t>
      </w:r>
      <w:r w:rsidRPr="0042331D">
        <w:rPr>
          <w:lang w:val="pt-BR"/>
        </w:rPr>
        <w:t>.</w:t>
      </w:r>
    </w:p>
    <w:p w14:paraId="2D48F30F" w14:textId="094C9C3A" w:rsidR="00D67FE1" w:rsidRPr="0042331D" w:rsidRDefault="00D67FE1" w:rsidP="00D67FE1">
      <w:pPr>
        <w:pStyle w:val="Tijeloteksta"/>
        <w:numPr>
          <w:ilvl w:val="0"/>
          <w:numId w:val="13"/>
        </w:numPr>
        <w:tabs>
          <w:tab w:val="left" w:pos="380"/>
        </w:tabs>
        <w:jc w:val="both"/>
        <w:rPr>
          <w:lang w:val="pt-BR"/>
        </w:rPr>
      </w:pPr>
      <w:r w:rsidRPr="0042331D">
        <w:rPr>
          <w:lang w:val="pt-BR"/>
        </w:rPr>
        <w:t>Contra a decisão mencionada no parágrafo 1 deste artigo, pode-se interpor recurso ao ministério responsável pela saúde. O recurso deve ser apresentado no prazo de 15 dias a contar do recebimento da notificação escrita da decisão.</w:t>
      </w:r>
    </w:p>
    <w:p w14:paraId="1AE2429A" w14:textId="7BC94FDC" w:rsidR="00052469" w:rsidRPr="0042331D" w:rsidRDefault="00D67FE1">
      <w:pPr>
        <w:pStyle w:val="Tijeloteksta"/>
        <w:jc w:val="center"/>
        <w:rPr>
          <w:lang w:val="pt-BR"/>
        </w:rPr>
      </w:pPr>
      <w:r w:rsidRPr="0042331D">
        <w:rPr>
          <w:rStyle w:val="TijelotekstaChar"/>
          <w:lang w:val="pt-BR"/>
        </w:rPr>
        <w:t>Artigo 11</w:t>
      </w:r>
    </w:p>
    <w:p w14:paraId="7521D1FA" w14:textId="59733FBB" w:rsidR="00052469" w:rsidRPr="0042331D" w:rsidRDefault="00D67FE1">
      <w:pPr>
        <w:pStyle w:val="Tijeloteksta"/>
        <w:spacing w:after="580"/>
        <w:jc w:val="both"/>
        <w:rPr>
          <w:lang w:val="pt-BR"/>
        </w:rPr>
      </w:pPr>
      <w:r w:rsidRPr="0042331D">
        <w:rPr>
          <w:rStyle w:val="TijelotekstaChar"/>
          <w:lang w:val="pt-BR"/>
        </w:rPr>
        <w:t>Uma vez realizada a comparação do programa de estudo, ela, em regra, é válida para todos os casos subsequentes de reconhecimento das mesmas qualificações profissionais.</w:t>
      </w:r>
    </w:p>
    <w:p w14:paraId="2D816154" w14:textId="0ACC6D59" w:rsidR="00052469" w:rsidRPr="0042331D" w:rsidRDefault="00D67FE1">
      <w:pPr>
        <w:pStyle w:val="Tijeloteksta"/>
        <w:jc w:val="center"/>
        <w:rPr>
          <w:lang w:val="pt-BR"/>
        </w:rPr>
      </w:pPr>
      <w:r w:rsidRPr="0042331D">
        <w:rPr>
          <w:rStyle w:val="TijelotekstaChar"/>
          <w:lang w:val="pt-BR"/>
        </w:rPr>
        <w:t>Artigo 12</w:t>
      </w:r>
    </w:p>
    <w:p w14:paraId="73E9D6E9" w14:textId="425B408F" w:rsidR="00D67FE1" w:rsidRPr="0042331D" w:rsidRDefault="00D67FE1" w:rsidP="00D67FE1">
      <w:pPr>
        <w:pStyle w:val="Tijeloteksta"/>
        <w:numPr>
          <w:ilvl w:val="0"/>
          <w:numId w:val="14"/>
        </w:numPr>
        <w:tabs>
          <w:tab w:val="left" w:pos="380"/>
        </w:tabs>
        <w:jc w:val="both"/>
        <w:rPr>
          <w:lang w:val="pt-BR"/>
        </w:rPr>
      </w:pPr>
      <w:r w:rsidRPr="0042331D">
        <w:rPr>
          <w:lang w:val="pt-BR"/>
        </w:rPr>
        <w:t xml:space="preserve">Se, ao avaliar e comparar a documentação do artigo 9 deste Regulamento, o </w:t>
      </w:r>
      <w:r w:rsidR="00AD0BC5">
        <w:rPr>
          <w:lang w:val="pt-BR"/>
        </w:rPr>
        <w:t>especialista</w:t>
      </w:r>
      <w:r w:rsidRPr="0042331D">
        <w:rPr>
          <w:lang w:val="pt-BR"/>
        </w:rPr>
        <w:t xml:space="preserve"> constatar um conteúdo significativamente diferente do programa de estudos, a </w:t>
      </w:r>
      <w:r w:rsidR="00684249" w:rsidRPr="0042331D">
        <w:rPr>
          <w:lang w:val="pt-BR"/>
        </w:rPr>
        <w:t>CMC</w:t>
      </w:r>
      <w:r w:rsidRPr="0042331D">
        <w:rPr>
          <w:lang w:val="pt-BR"/>
        </w:rPr>
        <w:t>, com base na documentação completa apresentada com o pedido e aplicando o princípio da proporcionalidade, procederá à avaliação para determinar se as competências adquiridas pelo requerente em um Estado-</w:t>
      </w:r>
      <w:r w:rsidR="00AD0BC5">
        <w:rPr>
          <w:lang w:val="pt-BR"/>
        </w:rPr>
        <w:t>m</w:t>
      </w:r>
      <w:r w:rsidRPr="0042331D">
        <w:rPr>
          <w:lang w:val="pt-BR"/>
        </w:rPr>
        <w:t>embro ou em um país terceiro, durante sua experiência profissional ou no âmbito da educação ao longo da vida, são de natureza a abranger total ou parcialmente o conteúdo significativamente diferente, ou seja, o conteúdo de formação e as competências adquiridas que são determinantes para o exercício da profissão, mas que não estão incluídas nas provas de qualificação educacional ou profissional do requerente.</w:t>
      </w:r>
    </w:p>
    <w:p w14:paraId="1E14A204" w14:textId="23BF8006" w:rsidR="00D67FE1" w:rsidRPr="0042331D" w:rsidRDefault="00D67FE1" w:rsidP="00D67FE1">
      <w:pPr>
        <w:pStyle w:val="Tijeloteksta"/>
        <w:numPr>
          <w:ilvl w:val="0"/>
          <w:numId w:val="14"/>
        </w:numPr>
        <w:tabs>
          <w:tab w:val="left" w:pos="380"/>
        </w:tabs>
        <w:jc w:val="both"/>
        <w:rPr>
          <w:lang w:val="pt-BR"/>
        </w:rPr>
      </w:pPr>
      <w:r w:rsidRPr="0042331D">
        <w:rPr>
          <w:lang w:val="pt-BR"/>
        </w:rPr>
        <w:t xml:space="preserve">Quando, aplicando o princípio da proporcionalidade, se determinar que a formação do candidato não apresenta diferenças significativas quanto à sua duração ou às áreas de formação cobertas, tal como exigido na Croácia para o exercício da profissão regulamentada de médico, a </w:t>
      </w:r>
      <w:r w:rsidR="00684249" w:rsidRPr="0042331D">
        <w:rPr>
          <w:lang w:val="pt-BR"/>
        </w:rPr>
        <w:t>CMC</w:t>
      </w:r>
      <w:r w:rsidRPr="0042331D">
        <w:rPr>
          <w:lang w:val="pt-BR"/>
        </w:rPr>
        <w:t xml:space="preserve"> emitirá uma decisão de reconhecimento da qualificação profissional estrangeira, se o requerente cumprir todas as outras condições estabelecidas na Lei sobre profissões regulamentadas e reconhecimento de qualificações profissionais estrangeiras.</w:t>
      </w:r>
    </w:p>
    <w:p w14:paraId="64DA4392" w14:textId="26DE82B7" w:rsidR="00D67FE1" w:rsidRPr="0042331D" w:rsidRDefault="00D67FE1" w:rsidP="00D67FE1">
      <w:pPr>
        <w:pStyle w:val="Tijeloteksta"/>
        <w:numPr>
          <w:ilvl w:val="0"/>
          <w:numId w:val="14"/>
        </w:numPr>
        <w:tabs>
          <w:tab w:val="left" w:pos="380"/>
        </w:tabs>
        <w:jc w:val="both"/>
        <w:rPr>
          <w:lang w:val="pt-BR"/>
        </w:rPr>
      </w:pPr>
      <w:r w:rsidRPr="0042331D">
        <w:rPr>
          <w:lang w:val="pt-BR"/>
        </w:rPr>
        <w:t xml:space="preserve">Contra a decisão do </w:t>
      </w:r>
      <w:r w:rsidR="00C509B6" w:rsidRPr="0042331D">
        <w:rPr>
          <w:lang w:val="pt-BR"/>
        </w:rPr>
        <w:t>parágrafo 2 deste artigo</w:t>
      </w:r>
      <w:r w:rsidRPr="0042331D">
        <w:rPr>
          <w:lang w:val="pt-BR"/>
        </w:rPr>
        <w:t xml:space="preserve">, pode ser interposto recurso ao ministério competente da saúde. O recurso deve ser apresentado no prazo de 15 dias a contar da </w:t>
      </w:r>
      <w:r w:rsidR="00AD0BC5" w:rsidRPr="0042331D">
        <w:rPr>
          <w:lang w:val="pt-BR"/>
        </w:rPr>
        <w:t>recepção</w:t>
      </w:r>
      <w:r w:rsidRPr="0042331D">
        <w:rPr>
          <w:lang w:val="pt-BR"/>
        </w:rPr>
        <w:t xml:space="preserve"> da notificação escrita da decisão.</w:t>
      </w:r>
    </w:p>
    <w:p w14:paraId="7EA36883" w14:textId="5444FD0F" w:rsidR="00052469" w:rsidRPr="0042331D" w:rsidRDefault="00842DD6">
      <w:pPr>
        <w:pStyle w:val="Tijeloteksta"/>
        <w:jc w:val="center"/>
        <w:rPr>
          <w:lang w:val="pt-BR"/>
        </w:rPr>
      </w:pPr>
      <w:r w:rsidRPr="0042331D">
        <w:rPr>
          <w:rStyle w:val="TijelotekstaChar"/>
          <w:lang w:val="pt-BR"/>
        </w:rPr>
        <w:t>Artigo 13</w:t>
      </w:r>
    </w:p>
    <w:p w14:paraId="5DED654C" w14:textId="1256EB32" w:rsidR="00052469" w:rsidRPr="0042331D" w:rsidRDefault="00684249">
      <w:pPr>
        <w:pStyle w:val="Tijeloteksta"/>
        <w:numPr>
          <w:ilvl w:val="0"/>
          <w:numId w:val="15"/>
        </w:numPr>
        <w:tabs>
          <w:tab w:val="left" w:pos="380"/>
        </w:tabs>
        <w:jc w:val="both"/>
        <w:rPr>
          <w:lang w:val="pt-BR"/>
        </w:rPr>
      </w:pPr>
      <w:r w:rsidRPr="0042331D">
        <w:rPr>
          <w:rStyle w:val="TijelotekstaChar"/>
          <w:lang w:val="pt-BR"/>
        </w:rPr>
        <w:t>Quando, pela aplicação do princípio da proporcionalidade, se constatar que a formação do candidato apresenta diferenças significativas quanto à sua duração ou às áreas cobertas da formação que são exigidas na RC como condição para o exercício da profissão regulamentada de médico, e que são decisivas para o exercício da profissão, a CMC emitirá uma decisão convocando o requerente a se manifestar sobre a escolha de uma das medidas complementares propostas.</w:t>
      </w:r>
    </w:p>
    <w:p w14:paraId="7753F8A3" w14:textId="7DE941D9" w:rsidR="00052469" w:rsidRPr="0042331D" w:rsidRDefault="00684249">
      <w:pPr>
        <w:pStyle w:val="Tijeloteksta"/>
        <w:numPr>
          <w:ilvl w:val="0"/>
          <w:numId w:val="15"/>
        </w:numPr>
        <w:tabs>
          <w:tab w:val="left" w:pos="370"/>
        </w:tabs>
        <w:spacing w:after="0"/>
        <w:jc w:val="both"/>
        <w:rPr>
          <w:lang w:val="pt-BR"/>
        </w:rPr>
      </w:pPr>
      <w:r w:rsidRPr="0042331D">
        <w:rPr>
          <w:rStyle w:val="TijelotekstaChar"/>
          <w:lang w:val="pt-BR"/>
        </w:rPr>
        <w:t>O requerente poderá escolher uma das seguintes medidas complementares:</w:t>
      </w:r>
    </w:p>
    <w:p w14:paraId="6B7671DC" w14:textId="1D38CED1" w:rsidR="00052469" w:rsidRPr="0042331D" w:rsidRDefault="00684249">
      <w:pPr>
        <w:pStyle w:val="Tijeloteksta"/>
        <w:numPr>
          <w:ilvl w:val="0"/>
          <w:numId w:val="16"/>
        </w:numPr>
        <w:tabs>
          <w:tab w:val="left" w:pos="735"/>
        </w:tabs>
        <w:spacing w:after="0"/>
        <w:ind w:firstLine="380"/>
        <w:jc w:val="both"/>
        <w:rPr>
          <w:lang w:val="pt-BR"/>
        </w:rPr>
      </w:pPr>
      <w:r w:rsidRPr="0042331D">
        <w:rPr>
          <w:rStyle w:val="TijelotekstaChar"/>
          <w:lang w:val="pt-BR"/>
        </w:rPr>
        <w:t>realização de verificação de competência na profissão</w:t>
      </w:r>
    </w:p>
    <w:p w14:paraId="39FAED73" w14:textId="1D4F4C18" w:rsidR="00052469" w:rsidRPr="0042331D" w:rsidRDefault="00684249">
      <w:pPr>
        <w:pStyle w:val="Tijeloteksta"/>
        <w:numPr>
          <w:ilvl w:val="0"/>
          <w:numId w:val="16"/>
        </w:numPr>
        <w:tabs>
          <w:tab w:val="left" w:pos="735"/>
        </w:tabs>
        <w:ind w:firstLine="380"/>
        <w:jc w:val="both"/>
        <w:rPr>
          <w:lang w:val="pt-BR"/>
        </w:rPr>
      </w:pPr>
      <w:r w:rsidRPr="0042331D">
        <w:rPr>
          <w:rStyle w:val="TijelotekstaChar"/>
          <w:lang w:val="pt-BR"/>
        </w:rPr>
        <w:t>realização de período de adaptação de até três anos.</w:t>
      </w:r>
    </w:p>
    <w:p w14:paraId="6A74173D" w14:textId="25639511" w:rsidR="00052469" w:rsidRPr="0042331D" w:rsidRDefault="00684249">
      <w:pPr>
        <w:pStyle w:val="Tijeloteksta"/>
        <w:numPr>
          <w:ilvl w:val="0"/>
          <w:numId w:val="15"/>
        </w:numPr>
        <w:tabs>
          <w:tab w:val="left" w:pos="380"/>
        </w:tabs>
        <w:jc w:val="both"/>
        <w:rPr>
          <w:lang w:val="pt-BR"/>
        </w:rPr>
      </w:pPr>
      <w:r w:rsidRPr="0042331D">
        <w:rPr>
          <w:rStyle w:val="TijelotekstaChar"/>
          <w:lang w:val="pt-BR"/>
        </w:rPr>
        <w:t xml:space="preserve">O requerente é obrigado, no prazo de 30 dias a contar do recebimento da decisão sobre a escolha da medida complementar, a manifestar-se por escrito sobre a escolha do tipo de medida complementar, bem como sobre a escolha da faculdade de medicina na </w:t>
      </w:r>
      <w:r w:rsidR="0042331D">
        <w:rPr>
          <w:rStyle w:val="TijelotekstaChar"/>
          <w:lang w:val="pt-BR"/>
        </w:rPr>
        <w:t>RC</w:t>
      </w:r>
      <w:r w:rsidRPr="0042331D">
        <w:rPr>
          <w:rStyle w:val="TijelotekstaChar"/>
          <w:lang w:val="pt-BR"/>
        </w:rPr>
        <w:t xml:space="preserve"> onde irá realizar a medida complementar.</w:t>
      </w:r>
    </w:p>
    <w:p w14:paraId="02AC5D6D" w14:textId="120BC8B5" w:rsidR="00052469" w:rsidRPr="0042331D" w:rsidRDefault="00684249">
      <w:pPr>
        <w:pStyle w:val="Tijeloteksta"/>
        <w:numPr>
          <w:ilvl w:val="0"/>
          <w:numId w:val="15"/>
        </w:numPr>
        <w:tabs>
          <w:tab w:val="left" w:pos="380"/>
        </w:tabs>
        <w:jc w:val="both"/>
        <w:rPr>
          <w:lang w:val="pt-BR"/>
        </w:rPr>
      </w:pPr>
      <w:r w:rsidRPr="0042331D">
        <w:rPr>
          <w:rStyle w:val="TijelotekstaChar"/>
          <w:lang w:val="pt-BR"/>
        </w:rPr>
        <w:t>Caso o requerente não se manifeste sobre a escolha do tipo de medida complementar, bem como sobre a escolha da faculdade de medicina na RC onde irá realizar a medida complementar, mesmo após solicitação da CMC, considerará que renunciou ao pedido, e o processo será encerrado por decisão.</w:t>
      </w:r>
    </w:p>
    <w:p w14:paraId="2988BF0B" w14:textId="4586B092" w:rsidR="00052469" w:rsidRPr="0042331D" w:rsidRDefault="00684249">
      <w:pPr>
        <w:pStyle w:val="Tijeloteksta"/>
        <w:jc w:val="center"/>
        <w:rPr>
          <w:lang w:val="pt-BR"/>
        </w:rPr>
      </w:pPr>
      <w:r w:rsidRPr="0042331D">
        <w:rPr>
          <w:rStyle w:val="TijelotekstaChar"/>
          <w:lang w:val="pt-BR"/>
        </w:rPr>
        <w:t>Artigo 14</w:t>
      </w:r>
    </w:p>
    <w:p w14:paraId="7E15D56C" w14:textId="6498ED24" w:rsidR="00052469" w:rsidRPr="0042331D" w:rsidRDefault="00684249">
      <w:pPr>
        <w:pStyle w:val="Tijeloteksta"/>
        <w:numPr>
          <w:ilvl w:val="0"/>
          <w:numId w:val="17"/>
        </w:numPr>
        <w:tabs>
          <w:tab w:val="left" w:pos="380"/>
        </w:tabs>
        <w:jc w:val="both"/>
        <w:rPr>
          <w:lang w:val="pt-BR"/>
        </w:rPr>
      </w:pPr>
      <w:r w:rsidRPr="0042331D">
        <w:rPr>
          <w:rStyle w:val="TijelotekstaChar"/>
          <w:lang w:val="pt-BR"/>
        </w:rPr>
        <w:t>Para a medida complementar escolhida referida no artigo 13, será emitida uma decisão provisória no prazo de 60 dias a contar da manifestação do requerente sobre a decisão recebida relativa à escolha da medida complementar. A decisão provisória estabelecerá as condições e o prazo para a execução da medida complementar, bem como os critérios para verificação do sucesso de sua implementação.</w:t>
      </w:r>
    </w:p>
    <w:p w14:paraId="26A98B91" w14:textId="2294FF73" w:rsidR="00052469" w:rsidRPr="0042331D" w:rsidRDefault="00684249">
      <w:pPr>
        <w:pStyle w:val="Tijeloteksta"/>
        <w:numPr>
          <w:ilvl w:val="0"/>
          <w:numId w:val="17"/>
        </w:numPr>
        <w:tabs>
          <w:tab w:val="left" w:pos="380"/>
        </w:tabs>
        <w:jc w:val="both"/>
        <w:rPr>
          <w:lang w:val="pt-BR"/>
        </w:rPr>
      </w:pPr>
      <w:r w:rsidRPr="0042331D">
        <w:rPr>
          <w:rStyle w:val="TijelotekstaChar"/>
          <w:lang w:val="pt-BR"/>
        </w:rPr>
        <w:t>Contra a decisão do parágrafo 1 deste artigo, cabe recurso ao ministério competente para a saúde. O recurso deve ser apresentado no prazo de 15 dias a contar do recebimento da notificação escrita da decisão.</w:t>
      </w:r>
    </w:p>
    <w:p w14:paraId="515C12EA" w14:textId="7C2931E6" w:rsidR="00052469" w:rsidRPr="0042331D" w:rsidRDefault="00684249">
      <w:pPr>
        <w:pStyle w:val="Tijeloteksta"/>
        <w:jc w:val="center"/>
        <w:rPr>
          <w:lang w:val="pt-BR"/>
        </w:rPr>
      </w:pPr>
      <w:r w:rsidRPr="0042331D">
        <w:rPr>
          <w:rStyle w:val="TijelotekstaChar"/>
          <w:lang w:val="pt-BR"/>
        </w:rPr>
        <w:t>Artigo 15</w:t>
      </w:r>
    </w:p>
    <w:p w14:paraId="544E81A9" w14:textId="04A89AE3" w:rsidR="00052469" w:rsidRPr="0042331D" w:rsidRDefault="00684249">
      <w:pPr>
        <w:pStyle w:val="Tijeloteksta"/>
        <w:numPr>
          <w:ilvl w:val="0"/>
          <w:numId w:val="18"/>
        </w:numPr>
        <w:tabs>
          <w:tab w:val="left" w:pos="380"/>
        </w:tabs>
        <w:jc w:val="both"/>
        <w:rPr>
          <w:lang w:val="pt-BR"/>
        </w:rPr>
      </w:pPr>
      <w:r w:rsidRPr="0042331D">
        <w:rPr>
          <w:rStyle w:val="TijelotekstaChar"/>
          <w:lang w:val="pt-BR"/>
        </w:rPr>
        <w:t>O requerente que optar pela medida complementar de verificação de competências na profissão é obrigado a realizar, na faculdade de medicina da RC que ele próprio escolher, os exames das disciplinas determinadas para avaliação da sua aptidão para o exercício da profissão regulamentada de médico na RC.</w:t>
      </w:r>
    </w:p>
    <w:p w14:paraId="62D10463" w14:textId="5B1D8BB3" w:rsidR="00052469" w:rsidRPr="0042331D" w:rsidRDefault="00FC5C1E">
      <w:pPr>
        <w:pStyle w:val="Tijeloteksta"/>
        <w:numPr>
          <w:ilvl w:val="0"/>
          <w:numId w:val="18"/>
        </w:numPr>
        <w:tabs>
          <w:tab w:val="left" w:pos="380"/>
        </w:tabs>
        <w:jc w:val="both"/>
        <w:rPr>
          <w:lang w:val="pt-BR"/>
        </w:rPr>
      </w:pPr>
      <w:r w:rsidRPr="0042331D">
        <w:rPr>
          <w:rStyle w:val="TijelotekstaChar"/>
          <w:lang w:val="pt-BR"/>
        </w:rPr>
        <w:t>Na decisão provisória prevista no artigo 14 deste Regulamento, será estabelecido o prazo de seis meses a contar da data da decisão, dentro do qual o requerente deverá realizar pela primeira vez os exames de verificação de competências nas disciplinas determinadas pela medida complementar.</w:t>
      </w:r>
    </w:p>
    <w:p w14:paraId="07A23B8F" w14:textId="32018B81" w:rsidR="00052469" w:rsidRPr="0042331D" w:rsidRDefault="00FC5C1E">
      <w:pPr>
        <w:pStyle w:val="Tijeloteksta"/>
        <w:numPr>
          <w:ilvl w:val="0"/>
          <w:numId w:val="18"/>
        </w:numPr>
        <w:tabs>
          <w:tab w:val="left" w:pos="380"/>
        </w:tabs>
        <w:spacing w:after="580"/>
        <w:jc w:val="both"/>
        <w:rPr>
          <w:lang w:val="pt-BR"/>
        </w:rPr>
      </w:pPr>
      <w:r w:rsidRPr="0042331D">
        <w:rPr>
          <w:rStyle w:val="TijelotekstaChar"/>
          <w:lang w:val="pt-BR"/>
        </w:rPr>
        <w:t>A faculdade de medicina escolhida é obrigada a permitir ao requerente a primeira realização de todos os exames de verificação de conhecimento nas disciplinas determinadas pela medida complementar, dentro de seis meses a contar da data da decisão provisória prevista no artigo 14 deste Regulamento.</w:t>
      </w:r>
    </w:p>
    <w:p w14:paraId="75D39E82" w14:textId="6428AF67" w:rsidR="00052469" w:rsidRPr="0042331D" w:rsidRDefault="00FC5C1E">
      <w:pPr>
        <w:pStyle w:val="Tijeloteksta"/>
        <w:jc w:val="center"/>
        <w:rPr>
          <w:lang w:val="pt-BR"/>
        </w:rPr>
      </w:pPr>
      <w:r w:rsidRPr="0042331D">
        <w:rPr>
          <w:rStyle w:val="TijelotekstaChar"/>
          <w:lang w:val="pt-BR"/>
        </w:rPr>
        <w:t>Artigo 16</w:t>
      </w:r>
    </w:p>
    <w:p w14:paraId="15D78F24" w14:textId="5C9356FF" w:rsidR="000A60F2" w:rsidRPr="0042331D" w:rsidRDefault="000A60F2" w:rsidP="000A60F2">
      <w:pPr>
        <w:pStyle w:val="Tijeloteksta"/>
        <w:numPr>
          <w:ilvl w:val="0"/>
          <w:numId w:val="19"/>
        </w:numPr>
        <w:tabs>
          <w:tab w:val="left" w:pos="380"/>
        </w:tabs>
        <w:jc w:val="both"/>
        <w:rPr>
          <w:lang w:val="pt-BR"/>
        </w:rPr>
      </w:pPr>
      <w:r w:rsidRPr="0042331D">
        <w:rPr>
          <w:lang w:val="pt-BR"/>
        </w:rPr>
        <w:t>Caso o requerente não compareça, dentro do prazo estabelecido no artigo 15 deste Regulamento, aos exames de verificação de competências na faculdade de medicina escolhida e não apresente comprovante disso, mesmo a pedido da CMC, considerar-se-á que ele desistiu do pedido, e o processo será encerrado por decisão.</w:t>
      </w:r>
    </w:p>
    <w:p w14:paraId="1ECBD918" w14:textId="7EF5C1F0" w:rsidR="000A60F2" w:rsidRPr="0042331D" w:rsidRDefault="000A60F2" w:rsidP="000A60F2">
      <w:pPr>
        <w:pStyle w:val="Tijeloteksta"/>
        <w:numPr>
          <w:ilvl w:val="0"/>
          <w:numId w:val="19"/>
        </w:numPr>
        <w:tabs>
          <w:tab w:val="left" w:pos="380"/>
        </w:tabs>
        <w:jc w:val="both"/>
        <w:rPr>
          <w:lang w:val="pt-BR"/>
        </w:rPr>
      </w:pPr>
      <w:r w:rsidRPr="0042331D">
        <w:rPr>
          <w:lang w:val="pt-BR"/>
        </w:rPr>
        <w:t>Caso o requerente não seja aprovado no exame de verificação de competências na profissão, poderá, no prazo de 15 dias a contar da data em que não foi aprovado, solicitar à faculdade de medicina escolhida na RC a repetição do exame de verificação de competências e realizar os exames das disciplinas determinadas pela medida complementar dentro do prazo de seis meses.</w:t>
      </w:r>
    </w:p>
    <w:p w14:paraId="701CE63D" w14:textId="3C571CCC" w:rsidR="000A60F2" w:rsidRPr="0042331D" w:rsidRDefault="000A60F2" w:rsidP="000A60F2">
      <w:pPr>
        <w:pStyle w:val="Tijeloteksta"/>
        <w:numPr>
          <w:ilvl w:val="0"/>
          <w:numId w:val="19"/>
        </w:numPr>
        <w:tabs>
          <w:tab w:val="left" w:pos="380"/>
        </w:tabs>
        <w:jc w:val="both"/>
        <w:rPr>
          <w:lang w:val="pt-BR"/>
        </w:rPr>
      </w:pPr>
      <w:r w:rsidRPr="0042331D">
        <w:rPr>
          <w:lang w:val="pt-BR"/>
        </w:rPr>
        <w:t>Caso o requerente não seja aprovado nos exames de verificação de competências dentro do prazo repetido de seis meses, a próxima medida complementar que a CMC poderá determinar será um período de adaptação, com duração máxima de cinco anos a contar da data da decisão provisória prevista no artigo 14 deste Regulamento.</w:t>
      </w:r>
    </w:p>
    <w:p w14:paraId="27F40FD7" w14:textId="1B7D4BB5" w:rsidR="00052469" w:rsidRPr="0042331D" w:rsidRDefault="000A60F2" w:rsidP="000A60F2">
      <w:pPr>
        <w:pStyle w:val="Tijeloteksta"/>
        <w:numPr>
          <w:ilvl w:val="0"/>
          <w:numId w:val="19"/>
        </w:numPr>
        <w:tabs>
          <w:tab w:val="left" w:pos="380"/>
        </w:tabs>
        <w:jc w:val="both"/>
        <w:rPr>
          <w:lang w:val="pt-BR"/>
        </w:rPr>
      </w:pPr>
      <w:r w:rsidRPr="0042331D">
        <w:rPr>
          <w:lang w:val="pt-BR"/>
        </w:rPr>
        <w:t>Caso o candidato não aceite a próxima medida complementar prevista no parágrafo 3 deste artigo, a CMC emitirá decisão rejeitando o pedido de reconhecimento da qualificação profissional estrangeira.</w:t>
      </w:r>
    </w:p>
    <w:p w14:paraId="591078CE" w14:textId="0EA8EFD1" w:rsidR="00052469" w:rsidRPr="0042331D" w:rsidRDefault="000A60F2">
      <w:pPr>
        <w:pStyle w:val="Tijeloteksta"/>
        <w:numPr>
          <w:ilvl w:val="0"/>
          <w:numId w:val="19"/>
        </w:numPr>
        <w:tabs>
          <w:tab w:val="left" w:pos="397"/>
        </w:tabs>
        <w:spacing w:after="580"/>
        <w:jc w:val="both"/>
        <w:rPr>
          <w:lang w:val="pt-BR"/>
        </w:rPr>
      </w:pPr>
      <w:r w:rsidRPr="0042331D">
        <w:rPr>
          <w:rStyle w:val="TijelotekstaChar"/>
          <w:lang w:val="pt-BR"/>
        </w:rPr>
        <w:t>Contra a decisão prevista no parágrafo 4 deste artigo, pode-se interpor recurso ao ministério responsável pela saúde. O recurso deve ser apresentado no prazo de 15 dias a contar do recebimento da notificação por escrito da decisão.</w:t>
      </w:r>
    </w:p>
    <w:p w14:paraId="67F75E89" w14:textId="3EA82731" w:rsidR="00052469" w:rsidRPr="0042331D" w:rsidRDefault="000A60F2">
      <w:pPr>
        <w:pStyle w:val="Tijeloteksta"/>
        <w:jc w:val="center"/>
        <w:rPr>
          <w:lang w:val="pt-BR"/>
        </w:rPr>
      </w:pPr>
      <w:r w:rsidRPr="0042331D">
        <w:rPr>
          <w:rStyle w:val="TijelotekstaChar"/>
          <w:lang w:val="pt-BR"/>
        </w:rPr>
        <w:t>Artigo 17</w:t>
      </w:r>
    </w:p>
    <w:p w14:paraId="02977EC9" w14:textId="4D1D2C9A" w:rsidR="00CC701A" w:rsidRPr="0042331D" w:rsidRDefault="00CC701A" w:rsidP="00CC701A">
      <w:pPr>
        <w:pStyle w:val="Tijeloteksta"/>
        <w:numPr>
          <w:ilvl w:val="0"/>
          <w:numId w:val="20"/>
        </w:numPr>
        <w:tabs>
          <w:tab w:val="left" w:pos="397"/>
        </w:tabs>
        <w:jc w:val="both"/>
        <w:rPr>
          <w:rStyle w:val="TijelotekstaChar"/>
          <w:lang w:val="pt-BR"/>
        </w:rPr>
      </w:pPr>
      <w:r w:rsidRPr="0042331D">
        <w:rPr>
          <w:rStyle w:val="TijelotekstaChar"/>
          <w:lang w:val="pt-BR"/>
        </w:rPr>
        <w:t>O requerente que escolher a medida de realização do período de adaptação de até três anos é obrigado a frequentar, em uma das faculdades de medicina na RC por ele escolhida, os cursos determinados pela medida complementar, na carga horária estabelecida pela faculdade de medicina escolhida, e a realizar os exames correspondentes.</w:t>
      </w:r>
    </w:p>
    <w:p w14:paraId="285C612A" w14:textId="77777777" w:rsidR="00CC701A" w:rsidRPr="0042331D" w:rsidRDefault="00CC701A" w:rsidP="00CC701A">
      <w:pPr>
        <w:pStyle w:val="Tijeloteksta"/>
        <w:numPr>
          <w:ilvl w:val="0"/>
          <w:numId w:val="20"/>
        </w:numPr>
        <w:tabs>
          <w:tab w:val="left" w:pos="397"/>
        </w:tabs>
        <w:jc w:val="both"/>
        <w:rPr>
          <w:rStyle w:val="TijelotekstaChar"/>
          <w:lang w:val="pt-BR"/>
        </w:rPr>
      </w:pPr>
      <w:r w:rsidRPr="0042331D">
        <w:rPr>
          <w:rStyle w:val="TijelotekstaChar"/>
          <w:lang w:val="pt-BR"/>
        </w:rPr>
        <w:t>A faculdade de medicina escolhida permitirá ao requerente frequentar os cursos e realizar os exames dentro do prazo de três anos a partir da data da decisão provisória.</w:t>
      </w:r>
    </w:p>
    <w:p w14:paraId="1BC8ABDC" w14:textId="1DD54A11" w:rsidR="00CC701A" w:rsidRPr="0042331D" w:rsidRDefault="00CC701A" w:rsidP="00CC701A">
      <w:pPr>
        <w:pStyle w:val="Tijeloteksta"/>
        <w:numPr>
          <w:ilvl w:val="0"/>
          <w:numId w:val="20"/>
        </w:numPr>
        <w:tabs>
          <w:tab w:val="left" w:pos="397"/>
        </w:tabs>
        <w:jc w:val="both"/>
        <w:rPr>
          <w:lang w:val="pt-BR"/>
        </w:rPr>
      </w:pPr>
      <w:r w:rsidRPr="0042331D">
        <w:rPr>
          <w:rStyle w:val="TijelotekstaChar"/>
          <w:lang w:val="pt-BR"/>
        </w:rPr>
        <w:t>Se o requerente não cumprir integralmente a medida de adaptação prevista no parágrafo 1 deste artigo, a CMC rejeitará, por decisão, o pedido de reconhecimento da qualificação profissional estrangeira</w:t>
      </w:r>
      <w:r w:rsidRPr="0042331D">
        <w:rPr>
          <w:lang w:val="pt-BR"/>
        </w:rPr>
        <w:t>.</w:t>
      </w:r>
    </w:p>
    <w:p w14:paraId="47884579" w14:textId="64C6055D" w:rsidR="00CC701A" w:rsidRPr="0042331D" w:rsidRDefault="00CC701A" w:rsidP="00CC701A">
      <w:pPr>
        <w:pStyle w:val="Tijeloteksta"/>
        <w:numPr>
          <w:ilvl w:val="0"/>
          <w:numId w:val="20"/>
        </w:numPr>
        <w:tabs>
          <w:tab w:val="left" w:pos="397"/>
        </w:tabs>
        <w:jc w:val="both"/>
        <w:rPr>
          <w:lang w:val="pt-BR"/>
        </w:rPr>
      </w:pPr>
      <w:r w:rsidRPr="0042331D">
        <w:rPr>
          <w:lang w:val="pt-BR"/>
        </w:rPr>
        <w:t>Contra a decisão prevista no parágrafo 4 deste artigo, pode-se interpor recurso ao ministério responsável pela saúde. O recurso deve ser apresentado no prazo de 15 dias a contar do recebimento da notificação por escrito da decisão.</w:t>
      </w:r>
    </w:p>
    <w:p w14:paraId="510D0ADB" w14:textId="1D462938" w:rsidR="00052469" w:rsidRPr="0042331D" w:rsidRDefault="0042331D">
      <w:pPr>
        <w:pStyle w:val="Tijeloteksta"/>
        <w:jc w:val="center"/>
        <w:rPr>
          <w:lang w:val="pt-BR"/>
        </w:rPr>
      </w:pPr>
      <w:r>
        <w:rPr>
          <w:rStyle w:val="TijelotekstaChar"/>
          <w:lang w:val="pt-BR"/>
        </w:rPr>
        <w:t>Artigo</w:t>
      </w:r>
      <w:r w:rsidRPr="0042331D">
        <w:rPr>
          <w:rStyle w:val="TijelotekstaChar"/>
          <w:lang w:val="pt-BR"/>
        </w:rPr>
        <w:t xml:space="preserve"> 18</w:t>
      </w:r>
    </w:p>
    <w:p w14:paraId="5D48AA4A" w14:textId="7DD1B35D" w:rsidR="00BE22B0" w:rsidRPr="0042331D" w:rsidRDefault="00BE22B0" w:rsidP="00BE22B0">
      <w:pPr>
        <w:pStyle w:val="Tijeloteksta"/>
        <w:numPr>
          <w:ilvl w:val="0"/>
          <w:numId w:val="21"/>
        </w:numPr>
        <w:tabs>
          <w:tab w:val="left" w:pos="397"/>
        </w:tabs>
        <w:jc w:val="both"/>
        <w:rPr>
          <w:lang w:val="pt-BR"/>
        </w:rPr>
      </w:pPr>
      <w:r w:rsidRPr="0042331D">
        <w:rPr>
          <w:lang w:val="pt-BR"/>
        </w:rPr>
        <w:t>O requerente é obrigado a entregar à CMC o certificado da faculdade de medicina comprovando a conclusão bem-sucedida da medida complementar, no máximo 30 dias após o término do prazo para a realização da medida.</w:t>
      </w:r>
    </w:p>
    <w:p w14:paraId="389E3AC0" w14:textId="19605AFF" w:rsidR="00BE22B0" w:rsidRPr="0042331D" w:rsidRDefault="00BE22B0" w:rsidP="00BE22B0">
      <w:pPr>
        <w:pStyle w:val="Tijeloteksta"/>
        <w:numPr>
          <w:ilvl w:val="0"/>
          <w:numId w:val="21"/>
        </w:numPr>
        <w:tabs>
          <w:tab w:val="left" w:pos="397"/>
        </w:tabs>
        <w:jc w:val="both"/>
        <w:rPr>
          <w:lang w:val="pt-BR"/>
        </w:rPr>
      </w:pPr>
      <w:r w:rsidRPr="0042331D">
        <w:rPr>
          <w:lang w:val="pt-BR"/>
        </w:rPr>
        <w:t>Se o requerente não entregar o certificado previsto no parágrafo 1 deste artigo dentro do prazo de 30 dias após o término do prazo para a realização da medida, a CMC o convocará, por decisão, para a entrega do documento.</w:t>
      </w:r>
    </w:p>
    <w:p w14:paraId="63FA787E" w14:textId="01D53C60" w:rsidR="00BE22B0" w:rsidRPr="0042331D" w:rsidRDefault="00BE22B0" w:rsidP="00BE22B0">
      <w:pPr>
        <w:pStyle w:val="Tijeloteksta"/>
        <w:numPr>
          <w:ilvl w:val="0"/>
          <w:numId w:val="21"/>
        </w:numPr>
        <w:tabs>
          <w:tab w:val="left" w:pos="397"/>
        </w:tabs>
        <w:jc w:val="both"/>
        <w:rPr>
          <w:lang w:val="pt-BR"/>
        </w:rPr>
      </w:pPr>
      <w:r w:rsidRPr="0042331D">
        <w:rPr>
          <w:lang w:val="pt-BR"/>
        </w:rPr>
        <w:t>Se o requerente, mesmo após a solicitação da CMC, não entregar o certificado previsto no parágrafo 1 deste artigo, será considerado que desistiu do pedido, e o processo será encerrado por decisão.</w:t>
      </w:r>
    </w:p>
    <w:p w14:paraId="6EFF1DF5" w14:textId="79338830" w:rsidR="00BE22B0" w:rsidRPr="0042331D" w:rsidRDefault="00BE22B0" w:rsidP="00BE22B0">
      <w:pPr>
        <w:pStyle w:val="Tijeloteksta"/>
        <w:numPr>
          <w:ilvl w:val="0"/>
          <w:numId w:val="21"/>
        </w:numPr>
        <w:tabs>
          <w:tab w:val="left" w:pos="397"/>
        </w:tabs>
        <w:jc w:val="both"/>
        <w:rPr>
          <w:lang w:val="pt-BR"/>
        </w:rPr>
      </w:pPr>
      <w:r w:rsidRPr="0042331D">
        <w:rPr>
          <w:lang w:val="pt-BR"/>
        </w:rPr>
        <w:t>Se o requerente entregar o certificado previsto no parágrafo 1 deste artigo, a CMC emitirá a decisão de reconhecimento da qualificação profissional estrangeira, caso o requerente cumpra todas as demais condições estabelecidas pela Lei sobre profissões reguladas e reconhecimento de qualificações profissionais estrangeiras.</w:t>
      </w:r>
    </w:p>
    <w:p w14:paraId="1FC45079" w14:textId="48FC80EA" w:rsidR="00BE22B0" w:rsidRPr="0042331D" w:rsidRDefault="00BE22B0" w:rsidP="00BE22B0">
      <w:pPr>
        <w:pStyle w:val="Tijeloteksta"/>
        <w:numPr>
          <w:ilvl w:val="0"/>
          <w:numId w:val="21"/>
        </w:numPr>
        <w:tabs>
          <w:tab w:val="left" w:pos="397"/>
        </w:tabs>
        <w:jc w:val="both"/>
        <w:rPr>
          <w:lang w:val="pt-BR"/>
        </w:rPr>
      </w:pPr>
      <w:r w:rsidRPr="0042331D">
        <w:rPr>
          <w:lang w:val="pt-BR"/>
        </w:rPr>
        <w:t xml:space="preserve"> Contra a decisão prevista no parágrafo 2 deste artigo, pode-se interpor recurso ao ministério responsável pela saúde. O recurso deve ser apresentado no prazo de 15 dias a contar do recebimento da notificação por escrito da decisão.</w:t>
      </w:r>
    </w:p>
    <w:p w14:paraId="4BD8D440" w14:textId="04C20AAC" w:rsidR="00052469" w:rsidRPr="0042331D" w:rsidRDefault="00BE22B0">
      <w:pPr>
        <w:pStyle w:val="Tijeloteksta"/>
        <w:jc w:val="center"/>
        <w:rPr>
          <w:lang w:val="pt-BR"/>
        </w:rPr>
      </w:pPr>
      <w:r w:rsidRPr="0042331D">
        <w:rPr>
          <w:rStyle w:val="TijelotekstaChar"/>
          <w:lang w:val="pt-BR"/>
        </w:rPr>
        <w:t>Artigo 19</w:t>
      </w:r>
    </w:p>
    <w:p w14:paraId="58538772" w14:textId="53BA0E9A" w:rsidR="00052469" w:rsidRPr="0042331D" w:rsidRDefault="00BE22B0">
      <w:pPr>
        <w:pStyle w:val="Tijeloteksta"/>
        <w:jc w:val="both"/>
        <w:rPr>
          <w:lang w:val="pt-BR"/>
        </w:rPr>
      </w:pPr>
      <w:r w:rsidRPr="0042331D">
        <w:rPr>
          <w:rStyle w:val="TijelotekstaChar"/>
          <w:lang w:val="pt-BR"/>
        </w:rPr>
        <w:t>Os custos da realização da medida complementar prevista neste Regulamento são de responsabilidade do requerente.</w:t>
      </w:r>
    </w:p>
    <w:p w14:paraId="17800558" w14:textId="1E79AF05" w:rsidR="00052469" w:rsidRPr="0042331D" w:rsidRDefault="00BE22B0">
      <w:pPr>
        <w:pStyle w:val="Tijeloteksta"/>
        <w:jc w:val="center"/>
        <w:rPr>
          <w:lang w:val="pt-BR"/>
        </w:rPr>
      </w:pPr>
      <w:r w:rsidRPr="0042331D">
        <w:rPr>
          <w:rStyle w:val="TijelotekstaChar"/>
          <w:lang w:val="pt-BR"/>
        </w:rPr>
        <w:t>Artigo 20</w:t>
      </w:r>
    </w:p>
    <w:p w14:paraId="3B315B72" w14:textId="1798EC3C" w:rsidR="00BE22B0" w:rsidRPr="0042331D" w:rsidRDefault="00BE22B0" w:rsidP="00BE22B0">
      <w:pPr>
        <w:pStyle w:val="Tijeloteksta"/>
        <w:numPr>
          <w:ilvl w:val="0"/>
          <w:numId w:val="22"/>
        </w:numPr>
        <w:tabs>
          <w:tab w:val="left" w:pos="401"/>
        </w:tabs>
        <w:jc w:val="both"/>
        <w:rPr>
          <w:rStyle w:val="TijelotekstaChar"/>
          <w:lang w:val="pt-BR"/>
        </w:rPr>
      </w:pPr>
      <w:r w:rsidRPr="0042331D">
        <w:rPr>
          <w:rStyle w:val="TijelotekstaChar"/>
          <w:lang w:val="pt-BR"/>
        </w:rPr>
        <w:t>No caso de a CMC, como órgão competente, constatar que existem diferenças significativas nas qualificações profissionais do candidato que não podem ser compensadas nem pela implementação das medidas complementares previstas no artigo 13 deste Regulamento, o pedido de reconhecimento da qualificação profissional estrangeira será rejeitado por decisão.</w:t>
      </w:r>
    </w:p>
    <w:p w14:paraId="3CBCFF4B" w14:textId="523AF762" w:rsidR="00BE22B0" w:rsidRPr="0042331D" w:rsidRDefault="00BE22B0" w:rsidP="00BE22B0">
      <w:pPr>
        <w:pStyle w:val="Tijeloteksta"/>
        <w:numPr>
          <w:ilvl w:val="0"/>
          <w:numId w:val="22"/>
        </w:numPr>
        <w:tabs>
          <w:tab w:val="left" w:pos="401"/>
        </w:tabs>
        <w:jc w:val="both"/>
        <w:rPr>
          <w:lang w:val="pt-BR"/>
        </w:rPr>
      </w:pPr>
      <w:r w:rsidRPr="0042331D">
        <w:rPr>
          <w:rStyle w:val="TijelotekstaChar"/>
          <w:lang w:val="pt-BR"/>
        </w:rPr>
        <w:t>Contra a decisão do parágrafo 1</w:t>
      </w:r>
      <w:r w:rsidRPr="0042331D">
        <w:rPr>
          <w:lang w:val="pt-BR"/>
        </w:rPr>
        <w:t xml:space="preserve"> deste artigo, pode ser interposto recurso ao ministério competente para a saúde. O recurso deve ser apresentado no prazo de 15 dias a contar do recebimento da comunicação escrita da decisão.</w:t>
      </w:r>
    </w:p>
    <w:p w14:paraId="7EE144E0" w14:textId="5AD337BD" w:rsidR="00052469" w:rsidRPr="0042331D" w:rsidRDefault="00B718F8">
      <w:pPr>
        <w:pStyle w:val="Heading20"/>
        <w:keepNext/>
        <w:keepLines/>
        <w:spacing w:after="580"/>
        <w:rPr>
          <w:lang w:val="pt-BR"/>
        </w:rPr>
      </w:pPr>
      <w:bookmarkStart w:id="2" w:name="bookmark6"/>
      <w:r w:rsidRPr="0042331D">
        <w:rPr>
          <w:rStyle w:val="Heading2"/>
          <w:b/>
          <w:bCs/>
          <w:lang w:val="pt-BR"/>
        </w:rPr>
        <w:t xml:space="preserve">III. </w:t>
      </w:r>
      <w:bookmarkEnd w:id="2"/>
      <w:r w:rsidR="00F31A42" w:rsidRPr="0042331D">
        <w:rPr>
          <w:rStyle w:val="Heading2"/>
          <w:b/>
          <w:bCs/>
          <w:lang w:val="pt-BR"/>
        </w:rPr>
        <w:t>SISTEMA AUTOMÁTICO DE RECONHECIMENTO DE QUALIFICAÇÕES PROFISSIONAIS ESTRANGEIRAS</w:t>
      </w:r>
    </w:p>
    <w:p w14:paraId="231C4761" w14:textId="6F868ABC" w:rsidR="00052469" w:rsidRPr="0042331D" w:rsidRDefault="00F31A42">
      <w:pPr>
        <w:pStyle w:val="Tijeloteksta"/>
        <w:jc w:val="center"/>
        <w:rPr>
          <w:lang w:val="pt-BR"/>
        </w:rPr>
      </w:pPr>
      <w:r w:rsidRPr="0042331D">
        <w:rPr>
          <w:rStyle w:val="TijelotekstaChar"/>
          <w:lang w:val="pt-BR"/>
        </w:rPr>
        <w:t>Artigo 21</w:t>
      </w:r>
    </w:p>
    <w:p w14:paraId="7B0E403E" w14:textId="371EDFCC" w:rsidR="00F31A42" w:rsidRPr="0042331D" w:rsidRDefault="00F31A42" w:rsidP="00F31A42">
      <w:pPr>
        <w:pStyle w:val="Tijeloteksta"/>
        <w:numPr>
          <w:ilvl w:val="0"/>
          <w:numId w:val="23"/>
        </w:numPr>
        <w:tabs>
          <w:tab w:val="left" w:pos="401"/>
        </w:tabs>
        <w:jc w:val="both"/>
        <w:rPr>
          <w:rStyle w:val="TijelotekstaChar"/>
          <w:lang w:val="pt-BR"/>
        </w:rPr>
      </w:pPr>
      <w:r w:rsidRPr="0042331D">
        <w:rPr>
          <w:rStyle w:val="TijelotekstaChar"/>
          <w:lang w:val="pt-BR"/>
        </w:rPr>
        <w:t>O sistema automático de reconhecimento de qualificações profissionais estrangeiras aplica-se a cidadãos de um Estado-</w:t>
      </w:r>
      <w:r w:rsidR="00425F1B">
        <w:rPr>
          <w:rStyle w:val="TijelotekstaChar"/>
          <w:lang w:val="pt-BR"/>
        </w:rPr>
        <w:t>m</w:t>
      </w:r>
      <w:r w:rsidRPr="0042331D">
        <w:rPr>
          <w:rStyle w:val="TijelotekstaChar"/>
          <w:lang w:val="pt-BR"/>
        </w:rPr>
        <w:t>embro da UE ou de um Estado signatário do Acordo EEE, cidadãos da Confederação Suíça e cidadãos da Croácia que tenham obtido qualificações profissionais num Estado-</w:t>
      </w:r>
      <w:r w:rsidR="00425F1B">
        <w:rPr>
          <w:rStyle w:val="TijelotekstaChar"/>
          <w:lang w:val="pt-BR"/>
        </w:rPr>
        <w:t>m</w:t>
      </w:r>
      <w:r w:rsidRPr="0042331D">
        <w:rPr>
          <w:rStyle w:val="TijelotekstaChar"/>
          <w:lang w:val="pt-BR"/>
        </w:rPr>
        <w:t>embro da UE, num Estado signatário do Acordo EEE ou na Confederação Suíça.</w:t>
      </w:r>
    </w:p>
    <w:p w14:paraId="124DB457" w14:textId="76DDB809" w:rsidR="00F31A42" w:rsidRPr="0042331D" w:rsidRDefault="00F31A42" w:rsidP="00F31A42">
      <w:pPr>
        <w:pStyle w:val="Tijeloteksta"/>
        <w:numPr>
          <w:ilvl w:val="0"/>
          <w:numId w:val="23"/>
        </w:numPr>
        <w:tabs>
          <w:tab w:val="left" w:pos="401"/>
        </w:tabs>
        <w:jc w:val="both"/>
        <w:rPr>
          <w:lang w:val="pt-BR"/>
        </w:rPr>
      </w:pPr>
      <w:r w:rsidRPr="0042331D">
        <w:rPr>
          <w:rStyle w:val="TijelotekstaChar"/>
          <w:lang w:val="pt-BR"/>
        </w:rPr>
        <w:t>O sistema automático de reconhecimento de qualificações profissionais estrangeiras aplica-se a cidadãos de</w:t>
      </w:r>
      <w:r w:rsidRPr="0042331D">
        <w:rPr>
          <w:lang w:val="pt-BR"/>
        </w:rPr>
        <w:t xml:space="preserve"> países terceiros que tenham obtido qualificações profissionais num Estado-</w:t>
      </w:r>
      <w:r w:rsidR="00425F1B">
        <w:rPr>
          <w:lang w:val="pt-BR"/>
        </w:rPr>
        <w:t>m</w:t>
      </w:r>
      <w:r w:rsidRPr="0042331D">
        <w:rPr>
          <w:lang w:val="pt-BR"/>
        </w:rPr>
        <w:t>embro da UE, num Estado signatário do Acordo EEE ou na Confederação Suíça.</w:t>
      </w:r>
    </w:p>
    <w:p w14:paraId="2F822A50" w14:textId="5E9833C5" w:rsidR="00F31A42" w:rsidRPr="0042331D" w:rsidRDefault="00F31A42" w:rsidP="00F31A42">
      <w:pPr>
        <w:pStyle w:val="Tijeloteksta"/>
        <w:numPr>
          <w:ilvl w:val="0"/>
          <w:numId w:val="23"/>
        </w:numPr>
        <w:tabs>
          <w:tab w:val="left" w:pos="401"/>
        </w:tabs>
        <w:spacing w:after="580"/>
        <w:jc w:val="both"/>
        <w:rPr>
          <w:lang w:val="pt-BR"/>
        </w:rPr>
      </w:pPr>
      <w:r w:rsidRPr="0042331D">
        <w:rPr>
          <w:lang w:val="pt-BR"/>
        </w:rPr>
        <w:t>O sistema automático de reconhecimento de qualificações profissionais estrangeiras aplica-se também a cidadãos de países terceiros que, num Estado-</w:t>
      </w:r>
      <w:r w:rsidR="00425F1B">
        <w:rPr>
          <w:lang w:val="pt-BR"/>
        </w:rPr>
        <w:t>m</w:t>
      </w:r>
      <w:r w:rsidRPr="0042331D">
        <w:rPr>
          <w:lang w:val="pt-BR"/>
        </w:rPr>
        <w:t>embro da UE, num Estado signatário do Acordo EEE ou na Confederação Suíça, exerçam efetiva e legalmente determinada atividade profissional por pelo menos três anos consecutivos, contando dentro de um período de cinco anos a partir da data de apresentação do pedido de reconhecimento automático da qualificação profissional estrangeira.</w:t>
      </w:r>
    </w:p>
    <w:p w14:paraId="253068E3" w14:textId="6B6B3090" w:rsidR="00052469" w:rsidRPr="0042331D" w:rsidRDefault="00F31A42">
      <w:pPr>
        <w:pStyle w:val="Tijeloteksta"/>
        <w:jc w:val="center"/>
        <w:rPr>
          <w:lang w:val="pt-BR"/>
        </w:rPr>
      </w:pPr>
      <w:r w:rsidRPr="0042331D">
        <w:rPr>
          <w:rStyle w:val="TijelotekstaChar"/>
          <w:lang w:val="pt-BR"/>
        </w:rPr>
        <w:t>Artigo 22</w:t>
      </w:r>
    </w:p>
    <w:p w14:paraId="4D349AEA" w14:textId="4B6594C6" w:rsidR="00052469" w:rsidRPr="0042331D" w:rsidRDefault="00C67A91">
      <w:pPr>
        <w:pStyle w:val="Tijeloteksta"/>
        <w:numPr>
          <w:ilvl w:val="0"/>
          <w:numId w:val="24"/>
        </w:numPr>
        <w:tabs>
          <w:tab w:val="left" w:pos="401"/>
        </w:tabs>
        <w:jc w:val="both"/>
        <w:rPr>
          <w:lang w:val="pt-BR"/>
        </w:rPr>
      </w:pPr>
      <w:r w:rsidRPr="0042331D">
        <w:rPr>
          <w:rStyle w:val="TijelotekstaChar"/>
          <w:lang w:val="pt-BR"/>
        </w:rPr>
        <w:t>O processo de reconhecimento de qualificações profissionais estrangeiras pelo sistema automático de reconhecimento inicia-se mediante pedido de reconhecimento de qualificações profissionais estrangeiras.</w:t>
      </w:r>
    </w:p>
    <w:p w14:paraId="7627E3AA" w14:textId="6E48B0AB" w:rsidR="00052469" w:rsidRPr="0042331D" w:rsidRDefault="00C67A91">
      <w:pPr>
        <w:pStyle w:val="Tijeloteksta"/>
        <w:numPr>
          <w:ilvl w:val="0"/>
          <w:numId w:val="24"/>
        </w:numPr>
        <w:tabs>
          <w:tab w:val="left" w:pos="401"/>
        </w:tabs>
        <w:jc w:val="both"/>
        <w:rPr>
          <w:lang w:val="pt-BR"/>
        </w:rPr>
      </w:pPr>
      <w:r w:rsidRPr="0042331D">
        <w:rPr>
          <w:rStyle w:val="TijelotekstaChar"/>
          <w:lang w:val="pt-BR"/>
        </w:rPr>
        <w:t>Deve ser anexada ao pedido a seguinte documentação:</w:t>
      </w:r>
    </w:p>
    <w:p w14:paraId="208A760C" w14:textId="2C7B56EC"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nacionalidade (certidão de nascimento, passaporte ou outro documento adequado de nacionalidade)</w:t>
      </w:r>
    </w:p>
    <w:p w14:paraId="0515D71D" w14:textId="444E71D0"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formação formal e outros documentos relativos à educação formal concluída – diploma de instituição de ensino superior estrangeira – faculdade de medicina</w:t>
      </w:r>
    </w:p>
    <w:p w14:paraId="44808D10" w14:textId="2B0D3075"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aprovação no exame profissional</w:t>
      </w:r>
    </w:p>
    <w:p w14:paraId="4F03CDB5" w14:textId="3408B725"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qualificação profissional – certificado/declaração de aprovação no exame de especialização</w:t>
      </w:r>
    </w:p>
    <w:p w14:paraId="4FB366DA" w14:textId="4D66DA96"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da conformidade da qualificação profissional com as disposições da Diretiva 2005/36/CE do Parlamento Europeu e do Conselho sobre o reconhecimento de qualificações profissionais (como prova, deve ser anexado certificado da autoridade competente do país de origem do requerente sobre a obtenção da qualificação profissional e a autorização para uso dos títulos profissionais de acordo com as disposições da Diretiva 2005/36/CE)</w:t>
      </w:r>
    </w:p>
    <w:p w14:paraId="604FCD31" w14:textId="7DDC85A7"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outros documentos (comprovante de filiação à ordem médica estrangeira, certidão de casamento ou decisão da autoridade competente para pessoas que tenham alterado o nome e/ou sobrenome)</w:t>
      </w:r>
    </w:p>
    <w:p w14:paraId="535F0FFC" w14:textId="10005DB8"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pagamento das taxas relativas ao procedimento de reconhecimento de qualificações profissionais estrangeiras</w:t>
      </w:r>
    </w:p>
    <w:p w14:paraId="68B22F73" w14:textId="79180DAB" w:rsidR="00C67A91" w:rsidRPr="0042331D" w:rsidRDefault="00C67A91" w:rsidP="00C67A91">
      <w:pPr>
        <w:pStyle w:val="Tijeloteksta"/>
        <w:numPr>
          <w:ilvl w:val="0"/>
          <w:numId w:val="25"/>
        </w:numPr>
        <w:tabs>
          <w:tab w:val="left" w:pos="735"/>
        </w:tabs>
        <w:spacing w:after="0"/>
        <w:ind w:left="740" w:hanging="360"/>
        <w:jc w:val="both"/>
        <w:rPr>
          <w:rStyle w:val="TijelotekstaChar"/>
          <w:lang w:val="pt-BR"/>
        </w:rPr>
      </w:pPr>
      <w:r w:rsidRPr="0042331D">
        <w:rPr>
          <w:rStyle w:val="TijelotekstaChar"/>
          <w:lang w:val="pt-BR"/>
        </w:rPr>
        <w:t>comprovante de pagamento da taxa administrativa</w:t>
      </w:r>
    </w:p>
    <w:p w14:paraId="42628EAA" w14:textId="0F1C81B5" w:rsidR="00C67A91" w:rsidRPr="0042331D" w:rsidRDefault="00C67A91" w:rsidP="00C67A91">
      <w:pPr>
        <w:pStyle w:val="Tijeloteksta"/>
        <w:numPr>
          <w:ilvl w:val="0"/>
          <w:numId w:val="25"/>
        </w:numPr>
        <w:tabs>
          <w:tab w:val="left" w:pos="735"/>
        </w:tabs>
        <w:spacing w:after="0"/>
        <w:ind w:left="740" w:hanging="360"/>
        <w:jc w:val="both"/>
        <w:rPr>
          <w:lang w:val="pt-BR"/>
        </w:rPr>
      </w:pPr>
      <w:r w:rsidRPr="0042331D">
        <w:rPr>
          <w:rStyle w:val="TijelotekstaChar"/>
          <w:lang w:val="pt-BR"/>
        </w:rPr>
        <w:t>declaração em que o requerente que se encontra no exterior nomeia um procurador residente na Croácia</w:t>
      </w:r>
      <w:r w:rsidRPr="0042331D">
        <w:rPr>
          <w:lang w:val="pt-BR"/>
        </w:rPr>
        <w:t xml:space="preserve"> para receber notificações, caso não possua pessoa autorizada para representação na Croácia.</w:t>
      </w:r>
    </w:p>
    <w:p w14:paraId="0A8BCCF4" w14:textId="77777777" w:rsidR="00C67A91" w:rsidRPr="0042331D" w:rsidRDefault="00C67A91" w:rsidP="00C67A91">
      <w:pPr>
        <w:pStyle w:val="Tijeloteksta"/>
        <w:tabs>
          <w:tab w:val="left" w:pos="735"/>
        </w:tabs>
        <w:spacing w:after="0"/>
        <w:ind w:left="740"/>
        <w:jc w:val="both"/>
        <w:rPr>
          <w:lang w:val="pt-BR"/>
        </w:rPr>
      </w:pPr>
    </w:p>
    <w:p w14:paraId="3C24111F" w14:textId="7B70C5E5" w:rsidR="00052469" w:rsidRPr="0042331D" w:rsidRDefault="00C67A91">
      <w:pPr>
        <w:pStyle w:val="Tijeloteksta"/>
        <w:numPr>
          <w:ilvl w:val="0"/>
          <w:numId w:val="24"/>
        </w:numPr>
        <w:tabs>
          <w:tab w:val="left" w:pos="380"/>
        </w:tabs>
        <w:spacing w:after="580"/>
        <w:jc w:val="both"/>
        <w:rPr>
          <w:lang w:val="pt-BR"/>
        </w:rPr>
      </w:pPr>
      <w:r w:rsidRPr="0042331D">
        <w:rPr>
          <w:rStyle w:val="TijelotekstaChar"/>
          <w:lang w:val="pt-BR"/>
        </w:rPr>
        <w:t>Em caso de suspeita justificada quanto à autenticidade da documentação referida no parágrafo 2 deste artigo, a CMC pode solicitar às autoridades competentes a verificação da autenticidade dos comprovantes e da acreditação das instituições de ensino superior e programas de formação, podendo a verificação da documentação ser realizada também por meio do sistema IMI, nos termos estabelecidos pela Lei sobre profissões reguladas e reconhecimento de qualificações profissionais estrangeiras.</w:t>
      </w:r>
    </w:p>
    <w:p w14:paraId="4EB1A3DC" w14:textId="51C305ED" w:rsidR="00052469" w:rsidRPr="0042331D" w:rsidRDefault="00C67A91">
      <w:pPr>
        <w:pStyle w:val="Tijeloteksta"/>
        <w:jc w:val="center"/>
        <w:rPr>
          <w:lang w:val="pt-BR"/>
        </w:rPr>
      </w:pPr>
      <w:r w:rsidRPr="0042331D">
        <w:rPr>
          <w:rStyle w:val="TijelotekstaChar"/>
          <w:lang w:val="pt-BR"/>
        </w:rPr>
        <w:t>Artigo 23</w:t>
      </w:r>
    </w:p>
    <w:p w14:paraId="059F7846" w14:textId="4D14C135" w:rsidR="00254200" w:rsidRPr="0042331D" w:rsidRDefault="00254200" w:rsidP="00254200">
      <w:pPr>
        <w:pStyle w:val="Tijeloteksta"/>
        <w:numPr>
          <w:ilvl w:val="0"/>
          <w:numId w:val="26"/>
        </w:numPr>
        <w:tabs>
          <w:tab w:val="left" w:pos="380"/>
        </w:tabs>
        <w:jc w:val="both"/>
        <w:rPr>
          <w:lang w:val="pt-BR"/>
        </w:rPr>
      </w:pPr>
      <w:r w:rsidRPr="0042331D">
        <w:rPr>
          <w:lang w:val="pt-BR"/>
        </w:rPr>
        <w:t>A CMC tem o dever de confirmar o recebimento do pedido mencionado no artigo 22 deste Regulamento ao requerente, no prazo de um mês a contar da data de recebimento do pedido.</w:t>
      </w:r>
    </w:p>
    <w:p w14:paraId="4D243604" w14:textId="77777777" w:rsidR="00254200" w:rsidRPr="0042331D" w:rsidRDefault="00254200" w:rsidP="00254200">
      <w:pPr>
        <w:pStyle w:val="Tijeloteksta"/>
        <w:numPr>
          <w:ilvl w:val="0"/>
          <w:numId w:val="26"/>
        </w:numPr>
        <w:tabs>
          <w:tab w:val="left" w:pos="380"/>
        </w:tabs>
        <w:jc w:val="both"/>
        <w:rPr>
          <w:lang w:val="pt-BR"/>
        </w:rPr>
      </w:pPr>
      <w:r w:rsidRPr="0042331D">
        <w:rPr>
          <w:lang w:val="pt-BR"/>
        </w:rPr>
        <w:t>Caso o pedido esteja incompleto ou contenha deficiência que impeça o seu processamento, a autoridade competente convocará o requerente, no prazo de 15 dias a contar do recebimento do pedido, a complementá-lo no prazo de 90 dias.</w:t>
      </w:r>
    </w:p>
    <w:p w14:paraId="23F54161" w14:textId="77777777" w:rsidR="00254200" w:rsidRPr="0042331D" w:rsidRDefault="00254200" w:rsidP="00254200">
      <w:pPr>
        <w:pStyle w:val="Tijeloteksta"/>
        <w:numPr>
          <w:ilvl w:val="0"/>
          <w:numId w:val="26"/>
        </w:numPr>
        <w:tabs>
          <w:tab w:val="left" w:pos="380"/>
        </w:tabs>
        <w:jc w:val="both"/>
        <w:rPr>
          <w:lang w:val="pt-BR"/>
        </w:rPr>
      </w:pPr>
      <w:r w:rsidRPr="0042331D">
        <w:rPr>
          <w:lang w:val="pt-BR"/>
        </w:rPr>
        <w:t>Caso o requerente não atenda à convocação e o pedido não possa ser processado, a autoridade competente rejeitará o pedido por estar incompleto.</w:t>
      </w:r>
    </w:p>
    <w:p w14:paraId="33FDD5B3" w14:textId="636139DA" w:rsidR="00254200" w:rsidRPr="0042331D" w:rsidRDefault="00254200" w:rsidP="00254200">
      <w:pPr>
        <w:pStyle w:val="Tijeloteksta"/>
        <w:numPr>
          <w:ilvl w:val="0"/>
          <w:numId w:val="26"/>
        </w:numPr>
        <w:tabs>
          <w:tab w:val="left" w:pos="380"/>
        </w:tabs>
        <w:jc w:val="both"/>
        <w:rPr>
          <w:lang w:val="pt-BR"/>
        </w:rPr>
      </w:pPr>
      <w:r w:rsidRPr="0042331D">
        <w:rPr>
          <w:lang w:val="pt-BR"/>
        </w:rPr>
        <w:t>Contra a decisão mencionada no parágrafo 3 deste artigo, pode ser interposto recurso ao ministério competente da área da saúde. O recurso deve ser apresentado no prazo de 15 dias a contar do recebimento da notificação escrita da decisão.</w:t>
      </w:r>
    </w:p>
    <w:p w14:paraId="201758D3" w14:textId="42464C4C" w:rsidR="00052469" w:rsidRPr="0042331D" w:rsidRDefault="00254200">
      <w:pPr>
        <w:pStyle w:val="Tijeloteksta"/>
        <w:jc w:val="center"/>
        <w:rPr>
          <w:lang w:val="pt-BR"/>
        </w:rPr>
      </w:pPr>
      <w:r w:rsidRPr="0042331D">
        <w:rPr>
          <w:rStyle w:val="TijelotekstaChar"/>
          <w:lang w:val="pt-BR"/>
        </w:rPr>
        <w:t>Artigo 24</w:t>
      </w:r>
    </w:p>
    <w:p w14:paraId="2B258118" w14:textId="19909C82" w:rsidR="00254200" w:rsidRPr="0042331D" w:rsidRDefault="00254200" w:rsidP="00254200">
      <w:pPr>
        <w:pStyle w:val="Tijeloteksta"/>
        <w:numPr>
          <w:ilvl w:val="0"/>
          <w:numId w:val="27"/>
        </w:numPr>
        <w:tabs>
          <w:tab w:val="left" w:pos="380"/>
        </w:tabs>
        <w:jc w:val="both"/>
        <w:rPr>
          <w:rStyle w:val="TijelotekstaChar"/>
          <w:lang w:val="pt-BR"/>
        </w:rPr>
      </w:pPr>
      <w:r w:rsidRPr="0042331D">
        <w:rPr>
          <w:rStyle w:val="TijelotekstaChar"/>
          <w:lang w:val="pt-BR"/>
        </w:rPr>
        <w:t>A CMC decide sobre o reconhecimento de qualificações profissionais estrangeiras pelo sistema de reconhecimento automático se o requerente cumprir os requisitos estabelecidos pela Lei sobre profissões reguladas e reconhecimento de qualificações profissionais estrangeiras. A decisão deve ser tomada no prazo máximo de 90 dias a contar da data de recebimento do pedido completo.</w:t>
      </w:r>
    </w:p>
    <w:p w14:paraId="383B328F" w14:textId="77777777" w:rsidR="00254200" w:rsidRPr="0042331D" w:rsidRDefault="00254200" w:rsidP="00254200">
      <w:pPr>
        <w:pStyle w:val="Tijeloteksta"/>
        <w:numPr>
          <w:ilvl w:val="0"/>
          <w:numId w:val="27"/>
        </w:numPr>
        <w:tabs>
          <w:tab w:val="left" w:pos="380"/>
        </w:tabs>
        <w:jc w:val="both"/>
        <w:rPr>
          <w:rStyle w:val="TijelotekstaChar"/>
          <w:lang w:val="pt-BR"/>
        </w:rPr>
      </w:pPr>
      <w:r w:rsidRPr="0042331D">
        <w:rPr>
          <w:rStyle w:val="TijelotekstaChar"/>
          <w:lang w:val="pt-BR"/>
        </w:rPr>
        <w:t>Por motivos justificados, o prazo para emissão da decisão mencionado no parágrafo 1 deste artigo pode ser prorrogado por mais 30 dias, no máximo.</w:t>
      </w:r>
    </w:p>
    <w:p w14:paraId="6025BAF7" w14:textId="77777777" w:rsidR="00254200" w:rsidRPr="0042331D" w:rsidRDefault="00254200" w:rsidP="00254200">
      <w:pPr>
        <w:pStyle w:val="Tijeloteksta"/>
        <w:numPr>
          <w:ilvl w:val="0"/>
          <w:numId w:val="27"/>
        </w:numPr>
        <w:tabs>
          <w:tab w:val="left" w:pos="380"/>
        </w:tabs>
        <w:jc w:val="both"/>
        <w:rPr>
          <w:rStyle w:val="TijelotekstaChar"/>
          <w:lang w:val="pt-BR"/>
        </w:rPr>
      </w:pPr>
      <w:r w:rsidRPr="0042331D">
        <w:rPr>
          <w:rStyle w:val="TijelotekstaChar"/>
          <w:lang w:val="pt-BR"/>
        </w:rPr>
        <w:t>Contra a decisão mencionada no parágrafo 1 deste artigo, pode ser interposto recurso ao ministério competente da área da saúde. O recurso deve ser apresentado no prazo de 15 dias a contar do recebimento da notificação escrita da decisão.</w:t>
      </w:r>
    </w:p>
    <w:p w14:paraId="67D6ED77" w14:textId="3F027F51" w:rsidR="00254200" w:rsidRPr="0042331D" w:rsidRDefault="00254200" w:rsidP="00254200">
      <w:pPr>
        <w:pStyle w:val="Tijeloteksta"/>
        <w:numPr>
          <w:ilvl w:val="0"/>
          <w:numId w:val="27"/>
        </w:numPr>
        <w:tabs>
          <w:tab w:val="left" w:pos="380"/>
        </w:tabs>
        <w:jc w:val="both"/>
        <w:rPr>
          <w:rStyle w:val="TijelotekstaChar"/>
          <w:lang w:val="pt-BR"/>
        </w:rPr>
      </w:pPr>
      <w:r w:rsidRPr="0042331D">
        <w:rPr>
          <w:rStyle w:val="TijelotekstaChar"/>
          <w:lang w:val="pt-BR"/>
        </w:rPr>
        <w:t>Caso a CMC não emita a decisão nem a forneça dentro dos prazos previstos neste artigo, o pedido será considerado aprovado. Neste caso, o requerente tem o direito de solicitar à CMC a emissão de uma decisão que confirme que o pedido foi aprovado. A decisão deve ser tomada no prazo de oito dias a contar da data de apresentação do pedido de decisão.</w:t>
      </w:r>
    </w:p>
    <w:p w14:paraId="76C79888" w14:textId="77777777" w:rsidR="00254200" w:rsidRPr="0042331D" w:rsidRDefault="00254200" w:rsidP="00254200">
      <w:pPr>
        <w:pStyle w:val="Tijeloteksta"/>
        <w:tabs>
          <w:tab w:val="left" w:pos="380"/>
        </w:tabs>
        <w:jc w:val="both"/>
        <w:rPr>
          <w:rStyle w:val="TijelotekstaChar"/>
          <w:lang w:val="pt-BR"/>
        </w:rPr>
      </w:pPr>
    </w:p>
    <w:p w14:paraId="2C3D5CEF" w14:textId="34D9A513" w:rsidR="00052469" w:rsidRPr="0042331D" w:rsidRDefault="00B718F8">
      <w:pPr>
        <w:pStyle w:val="Heading20"/>
        <w:keepNext/>
        <w:keepLines/>
        <w:spacing w:after="600"/>
        <w:rPr>
          <w:lang w:val="pt-BR"/>
        </w:rPr>
      </w:pPr>
      <w:bookmarkStart w:id="3" w:name="bookmark8"/>
      <w:r w:rsidRPr="0042331D">
        <w:rPr>
          <w:rStyle w:val="Heading2"/>
          <w:b/>
          <w:bCs/>
          <w:lang w:val="pt-BR"/>
        </w:rPr>
        <w:t xml:space="preserve">IV. </w:t>
      </w:r>
      <w:bookmarkEnd w:id="3"/>
      <w:r w:rsidR="00254200" w:rsidRPr="0042331D">
        <w:rPr>
          <w:rStyle w:val="Heading2"/>
          <w:b/>
          <w:bCs/>
          <w:lang w:val="pt-BR"/>
        </w:rPr>
        <w:t>PRESTAÇÃO DE SERVIÇOS EM BASE TEMPORÁRIA E OCASIONAL COM BASE EM QUALIFICAÇÕES PROFISSIONAIS ESTRANGEIRAS</w:t>
      </w:r>
    </w:p>
    <w:p w14:paraId="4923050E" w14:textId="5F98B4A5" w:rsidR="00052469" w:rsidRPr="0042331D" w:rsidRDefault="00254200">
      <w:pPr>
        <w:pStyle w:val="Tijeloteksta"/>
        <w:jc w:val="center"/>
        <w:rPr>
          <w:lang w:val="pt-BR"/>
        </w:rPr>
      </w:pPr>
      <w:r w:rsidRPr="0042331D">
        <w:rPr>
          <w:rStyle w:val="TijelotekstaChar"/>
          <w:lang w:val="pt-BR"/>
        </w:rPr>
        <w:t>Artigo 25</w:t>
      </w:r>
    </w:p>
    <w:p w14:paraId="222675C2" w14:textId="616287CA" w:rsidR="00254200" w:rsidRPr="0042331D" w:rsidRDefault="00254200" w:rsidP="00254200">
      <w:pPr>
        <w:pStyle w:val="Tijeloteksta"/>
        <w:numPr>
          <w:ilvl w:val="0"/>
          <w:numId w:val="28"/>
        </w:numPr>
        <w:tabs>
          <w:tab w:val="left" w:pos="370"/>
        </w:tabs>
        <w:spacing w:after="140"/>
        <w:jc w:val="both"/>
        <w:rPr>
          <w:rStyle w:val="TijelotekstaChar"/>
          <w:lang w:val="pt-BR"/>
        </w:rPr>
      </w:pPr>
      <w:r w:rsidRPr="0042331D">
        <w:rPr>
          <w:rStyle w:val="TijelotekstaChar"/>
          <w:lang w:val="pt-BR"/>
        </w:rPr>
        <w:t xml:space="preserve">A atividade da profissão regulada de médico ou médico especialista na RC pode ser exercida de forma temporária ou ocasional por médico ou médico especialista que tenha </w:t>
      </w:r>
      <w:r w:rsidR="004E1363">
        <w:rPr>
          <w:rStyle w:val="TijelotekstaChar"/>
          <w:lang w:val="pt-BR"/>
        </w:rPr>
        <w:t>estabelecimento</w:t>
      </w:r>
      <w:r w:rsidRPr="0042331D">
        <w:rPr>
          <w:rStyle w:val="TijelotekstaChar"/>
          <w:lang w:val="pt-BR"/>
        </w:rPr>
        <w:t xml:space="preserve"> profissional em um Estado-</w:t>
      </w:r>
      <w:r w:rsidR="004E1363">
        <w:rPr>
          <w:rStyle w:val="TijelotekstaChar"/>
          <w:lang w:val="pt-BR"/>
        </w:rPr>
        <w:t>m</w:t>
      </w:r>
      <w:r w:rsidRPr="0042331D">
        <w:rPr>
          <w:rStyle w:val="TijelotekstaChar"/>
          <w:lang w:val="pt-BR"/>
        </w:rPr>
        <w:t>embro da UE, em um Estado signatário do Acordo do EEE ou na Confederação Suíça.</w:t>
      </w:r>
    </w:p>
    <w:p w14:paraId="3132C501" w14:textId="02D435F4" w:rsidR="00254200" w:rsidRPr="0042331D" w:rsidRDefault="00254200" w:rsidP="00254200">
      <w:pPr>
        <w:pStyle w:val="Tijeloteksta"/>
        <w:numPr>
          <w:ilvl w:val="0"/>
          <w:numId w:val="28"/>
        </w:numPr>
        <w:tabs>
          <w:tab w:val="left" w:pos="370"/>
        </w:tabs>
        <w:spacing w:after="140"/>
        <w:jc w:val="both"/>
        <w:rPr>
          <w:rStyle w:val="TijelotekstaChar"/>
          <w:lang w:val="pt-BR"/>
        </w:rPr>
      </w:pPr>
      <w:r w:rsidRPr="0042331D">
        <w:rPr>
          <w:rStyle w:val="TijelotekstaChar"/>
          <w:lang w:val="pt-BR"/>
        </w:rPr>
        <w:t>A disposição do parágrafo 1 deste artigo não se aplica a cidadãos de países terceiros.</w:t>
      </w:r>
    </w:p>
    <w:p w14:paraId="4198CECB" w14:textId="77777777" w:rsidR="00254200" w:rsidRPr="0042331D" w:rsidRDefault="00254200" w:rsidP="00254200">
      <w:pPr>
        <w:pStyle w:val="Tijeloteksta"/>
        <w:tabs>
          <w:tab w:val="left" w:pos="370"/>
        </w:tabs>
        <w:spacing w:after="140"/>
        <w:jc w:val="both"/>
        <w:rPr>
          <w:rStyle w:val="TijelotekstaChar"/>
          <w:lang w:val="pt-BR"/>
        </w:rPr>
      </w:pPr>
    </w:p>
    <w:p w14:paraId="4CA1DD45" w14:textId="23C5AB54" w:rsidR="00052469" w:rsidRPr="0042331D" w:rsidRDefault="00254200">
      <w:pPr>
        <w:pStyle w:val="Tijeloteksta"/>
        <w:spacing w:after="140"/>
        <w:jc w:val="center"/>
        <w:rPr>
          <w:lang w:val="pt-BR"/>
        </w:rPr>
      </w:pPr>
      <w:r w:rsidRPr="0042331D">
        <w:rPr>
          <w:rStyle w:val="TijelotekstaChar"/>
          <w:lang w:val="pt-BR"/>
        </w:rPr>
        <w:t>Artigo 26</w:t>
      </w:r>
    </w:p>
    <w:p w14:paraId="782FF352" w14:textId="77777777" w:rsidR="006F3F3B" w:rsidRPr="0042331D" w:rsidRDefault="006F3F3B" w:rsidP="006F3F3B">
      <w:pPr>
        <w:pStyle w:val="Tijeloteksta"/>
        <w:numPr>
          <w:ilvl w:val="0"/>
          <w:numId w:val="29"/>
        </w:numPr>
        <w:tabs>
          <w:tab w:val="left" w:pos="370"/>
        </w:tabs>
        <w:jc w:val="both"/>
        <w:rPr>
          <w:lang w:val="pt-BR"/>
        </w:rPr>
      </w:pPr>
      <w:r w:rsidRPr="0042331D">
        <w:rPr>
          <w:lang w:val="pt-BR"/>
        </w:rPr>
        <w:t>O médico ou médico especialista referido no artigo 25 deste Regulamento apresenta à CMC uma declaração para prestação de serviços de forma ocasional e temporária na RC.</w:t>
      </w:r>
    </w:p>
    <w:p w14:paraId="4E4254C2" w14:textId="21B6ADA2" w:rsidR="006F3F3B" w:rsidRPr="0042331D" w:rsidRDefault="006F3F3B" w:rsidP="006F3F3B">
      <w:pPr>
        <w:pStyle w:val="Tijeloteksta"/>
        <w:numPr>
          <w:ilvl w:val="0"/>
          <w:numId w:val="29"/>
        </w:numPr>
        <w:tabs>
          <w:tab w:val="left" w:pos="370"/>
        </w:tabs>
        <w:jc w:val="both"/>
        <w:rPr>
          <w:lang w:val="pt-BR"/>
        </w:rPr>
      </w:pPr>
      <w:r w:rsidRPr="0042331D">
        <w:rPr>
          <w:lang w:val="pt-BR"/>
        </w:rPr>
        <w:t>O médico ou médico especialista que apresenta pela primeira vez a declaração referida no parágrafo 1 deste artigo deve anexar à declaração a seguinte documentação:</w:t>
      </w:r>
    </w:p>
    <w:p w14:paraId="5CE208EF" w14:textId="171D685B"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lang w:val="pt-BR"/>
        </w:rPr>
        <w:t xml:space="preserve">comprovante de nacionalidade (certidão de nascimento, passaporte ou outro </w:t>
      </w:r>
      <w:r w:rsidRPr="0042331D">
        <w:rPr>
          <w:rStyle w:val="TijelotekstaChar"/>
          <w:lang w:val="pt-BR"/>
        </w:rPr>
        <w:t>documento equivalente de nacionalidade)</w:t>
      </w:r>
    </w:p>
    <w:p w14:paraId="3345EE55" w14:textId="6858BB5D" w:rsidR="006F3F3B" w:rsidRPr="0042331D" w:rsidRDefault="004E1363" w:rsidP="006F3F3B">
      <w:pPr>
        <w:pStyle w:val="Tijeloteksta"/>
        <w:numPr>
          <w:ilvl w:val="0"/>
          <w:numId w:val="30"/>
        </w:numPr>
        <w:tabs>
          <w:tab w:val="left" w:pos="670"/>
        </w:tabs>
        <w:spacing w:after="0"/>
        <w:ind w:left="660" w:hanging="360"/>
        <w:jc w:val="both"/>
        <w:rPr>
          <w:rStyle w:val="TijelotekstaChar"/>
          <w:lang w:val="pt-BR"/>
        </w:rPr>
      </w:pPr>
      <w:r>
        <w:t>c</w:t>
      </w:r>
      <w:r w:rsidRPr="004E1363">
        <w:rPr>
          <w:rStyle w:val="TijelotekstaChar"/>
          <w:lang w:val="pt-BR"/>
        </w:rPr>
        <w:t>ertificado das autoridades competentes do país de origem que comprove que o requerente possui estabelecimento profissional ou exerce a profissão regulamentada de médico ou médico especialista em um Estado-</w:t>
      </w:r>
      <w:r>
        <w:rPr>
          <w:rStyle w:val="TijelotekstaChar"/>
          <w:lang w:val="pt-BR"/>
        </w:rPr>
        <w:t>m</w:t>
      </w:r>
      <w:r w:rsidRPr="004E1363">
        <w:rPr>
          <w:rStyle w:val="TijelotekstaChar"/>
          <w:lang w:val="pt-BR"/>
        </w:rPr>
        <w:t>embro da UE, em um país signatário do Acordo do EEE ou na Confederação Suíça (como prova, também pode ser apresentado um certificado do empregador, que deve ser autenticado com a assinatura de pessoa autorizada a representar o empregador e com o carimbo da empresa).</w:t>
      </w:r>
    </w:p>
    <w:p w14:paraId="171470FC" w14:textId="520AF2D9"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rStyle w:val="TijelotekstaChar"/>
          <w:lang w:val="pt-BR"/>
        </w:rPr>
        <w:t xml:space="preserve">certificado das autoridades do país onde o requerente possui </w:t>
      </w:r>
      <w:r w:rsidR="004E1363" w:rsidRPr="004E1363">
        <w:rPr>
          <w:rStyle w:val="TijelotekstaChar"/>
          <w:lang w:val="pt-BR"/>
        </w:rPr>
        <w:t xml:space="preserve">estabelecimento </w:t>
      </w:r>
      <w:r w:rsidRPr="0042331D">
        <w:rPr>
          <w:rStyle w:val="TijelotekstaChar"/>
          <w:lang w:val="pt-BR"/>
        </w:rPr>
        <w:t>profissional, confirmando que exerce a profissão regulada de médico ou médico especialista no Estado-</w:t>
      </w:r>
      <w:r w:rsidR="004E1363">
        <w:rPr>
          <w:rStyle w:val="TijelotekstaChar"/>
          <w:lang w:val="pt-BR"/>
        </w:rPr>
        <w:t>m</w:t>
      </w:r>
      <w:r w:rsidRPr="0042331D">
        <w:rPr>
          <w:rStyle w:val="TijelotekstaChar"/>
          <w:lang w:val="pt-BR"/>
        </w:rPr>
        <w:t>embro da UE, Estado signatário do Acordo do EEE ou na Confederação Suíça, e que, no momento da emissão, não possui, nem mesmo temporariamente, qualquer proibição de exercer a profissão regulada (</w:t>
      </w:r>
      <w:r w:rsidRPr="0042331D">
        <w:rPr>
          <w:rStyle w:val="TijelotekstaChar"/>
          <w:i/>
          <w:iCs/>
          <w:lang w:val="pt-BR"/>
        </w:rPr>
        <w:t>Good Standing</w:t>
      </w:r>
      <w:r w:rsidRPr="0042331D">
        <w:rPr>
          <w:rStyle w:val="TijelotekstaChar"/>
          <w:lang w:val="pt-BR"/>
        </w:rPr>
        <w:t xml:space="preserve"> ou certificado </w:t>
      </w:r>
      <w:r w:rsidR="004E1363" w:rsidRPr="004E1363">
        <w:rPr>
          <w:rStyle w:val="TijelotekstaChar"/>
          <w:lang w:val="pt-BR"/>
        </w:rPr>
        <w:t xml:space="preserve">de antecedentes criminais </w:t>
      </w:r>
      <w:r w:rsidRPr="0042331D">
        <w:rPr>
          <w:rStyle w:val="TijelotekstaChar"/>
          <w:lang w:val="pt-BR"/>
        </w:rPr>
        <w:t>emitido pela autoridade competente)</w:t>
      </w:r>
    </w:p>
    <w:p w14:paraId="30A9D5F3" w14:textId="1323B2BB"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rStyle w:val="TijelotekstaChar"/>
          <w:lang w:val="pt-BR"/>
        </w:rPr>
        <w:t>comprovantes das qualificações profissionais – diploma de faculdade de medicina, certificado de exame profissional, certificado de exame de especialização, certificado de exame de subespecialidade</w:t>
      </w:r>
    </w:p>
    <w:p w14:paraId="651AF08C" w14:textId="1D0B5597"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rStyle w:val="TijelotekstaChar"/>
          <w:lang w:val="pt-BR"/>
        </w:rPr>
        <w:t>comprovante de proficiência em língua croata emitido por instituição licenciada de acordo com o Quadro Europeu Comum de Referência para Línguas, nível mínimo B2 (usuário independente), exceto para médicos que se formaram em uma faculdade de medicina na RC com programa em croata, ou que concluíram educação básica ou secundária, ou parte da formação na Croácia ou no exterior com programa em croata</w:t>
      </w:r>
    </w:p>
    <w:p w14:paraId="71A7EB84" w14:textId="7BE7D1A9"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rStyle w:val="TijelotekstaChar"/>
          <w:lang w:val="pt-BR"/>
        </w:rPr>
        <w:t>comprovante de apólice de seguro de responsabilidade profissional, válida na RC durante o período em que o requerente pretende exercer a medicina</w:t>
      </w:r>
    </w:p>
    <w:p w14:paraId="64FD435A" w14:textId="10EA427E" w:rsidR="006F3F3B" w:rsidRPr="0042331D" w:rsidRDefault="006F3F3B" w:rsidP="006F3F3B">
      <w:pPr>
        <w:pStyle w:val="Tijeloteksta"/>
        <w:numPr>
          <w:ilvl w:val="0"/>
          <w:numId w:val="30"/>
        </w:numPr>
        <w:tabs>
          <w:tab w:val="left" w:pos="670"/>
        </w:tabs>
        <w:spacing w:after="0"/>
        <w:ind w:left="660" w:hanging="360"/>
        <w:jc w:val="both"/>
        <w:rPr>
          <w:rStyle w:val="TijelotekstaChar"/>
          <w:lang w:val="pt-BR"/>
        </w:rPr>
      </w:pPr>
      <w:r w:rsidRPr="0042331D">
        <w:rPr>
          <w:rStyle w:val="TijelotekstaChar"/>
          <w:lang w:val="pt-BR"/>
        </w:rPr>
        <w:t xml:space="preserve">comprovante do título profissional que o requerente possui no país de </w:t>
      </w:r>
      <w:r w:rsidR="004E1363">
        <w:rPr>
          <w:rStyle w:val="TijelotekstaChar"/>
          <w:lang w:val="pt-BR"/>
        </w:rPr>
        <w:t>estabelecimento</w:t>
      </w:r>
      <w:r w:rsidRPr="0042331D">
        <w:rPr>
          <w:rStyle w:val="TijelotekstaChar"/>
          <w:lang w:val="pt-BR"/>
        </w:rPr>
        <w:t xml:space="preserve"> profissional</w:t>
      </w:r>
    </w:p>
    <w:p w14:paraId="791D5C18" w14:textId="1C54A78F" w:rsidR="006F3F3B" w:rsidRPr="0042331D" w:rsidRDefault="006F3F3B" w:rsidP="006F3F3B">
      <w:pPr>
        <w:pStyle w:val="Tijeloteksta"/>
        <w:numPr>
          <w:ilvl w:val="0"/>
          <w:numId w:val="30"/>
        </w:numPr>
        <w:tabs>
          <w:tab w:val="left" w:pos="670"/>
        </w:tabs>
        <w:spacing w:after="0"/>
        <w:ind w:left="660" w:hanging="360"/>
        <w:jc w:val="both"/>
        <w:rPr>
          <w:lang w:val="pt-BR"/>
        </w:rPr>
      </w:pPr>
      <w:r w:rsidRPr="0042331D">
        <w:rPr>
          <w:rStyle w:val="TijelotekstaChar"/>
          <w:lang w:val="pt-BR"/>
        </w:rPr>
        <w:t>comprovante de exercício</w:t>
      </w:r>
      <w:r w:rsidRPr="0042331D">
        <w:rPr>
          <w:lang w:val="pt-BR"/>
        </w:rPr>
        <w:t xml:space="preserve"> da atividade médica por pelo menos um ano nos últimos dez anos, caso a atividade médica não seja regulada no país de </w:t>
      </w:r>
      <w:r w:rsidR="004E1363">
        <w:rPr>
          <w:lang w:val="pt-BR"/>
        </w:rPr>
        <w:t>estabelecimento</w:t>
      </w:r>
      <w:r w:rsidRPr="0042331D">
        <w:rPr>
          <w:lang w:val="pt-BR"/>
        </w:rPr>
        <w:t xml:space="preserve"> profissional.</w:t>
      </w:r>
    </w:p>
    <w:p w14:paraId="3341958A" w14:textId="77777777" w:rsidR="006F3F3B" w:rsidRPr="0042331D" w:rsidRDefault="006F3F3B" w:rsidP="006F3F3B">
      <w:pPr>
        <w:pStyle w:val="Tijeloteksta"/>
        <w:tabs>
          <w:tab w:val="left" w:pos="670"/>
        </w:tabs>
        <w:spacing w:after="0"/>
        <w:ind w:left="660"/>
        <w:jc w:val="both"/>
        <w:rPr>
          <w:lang w:val="pt-BR"/>
        </w:rPr>
      </w:pPr>
    </w:p>
    <w:p w14:paraId="0DF5AF28" w14:textId="5BC3CD1A" w:rsidR="006F3F3B" w:rsidRPr="0042331D" w:rsidRDefault="006F3F3B" w:rsidP="006F3F3B">
      <w:pPr>
        <w:pStyle w:val="Tijeloteksta"/>
        <w:numPr>
          <w:ilvl w:val="0"/>
          <w:numId w:val="32"/>
        </w:numPr>
        <w:tabs>
          <w:tab w:val="left" w:pos="380"/>
        </w:tabs>
        <w:jc w:val="both"/>
        <w:rPr>
          <w:rStyle w:val="TijelotekstaChar"/>
          <w:lang w:val="pt-BR"/>
        </w:rPr>
      </w:pPr>
      <w:r w:rsidRPr="0042331D">
        <w:rPr>
          <w:rStyle w:val="TijelotekstaChar"/>
          <w:lang w:val="pt-BR"/>
        </w:rPr>
        <w:t>Além dos documentos referidos no parágrafo 2 deste artigo, a CMC pode solicitar outros documentos quando:</w:t>
      </w:r>
    </w:p>
    <w:p w14:paraId="254D4E4D" w14:textId="76ACD411" w:rsidR="006F3F3B" w:rsidRPr="0042331D" w:rsidRDefault="006F3F3B" w:rsidP="006F3F3B">
      <w:pPr>
        <w:pStyle w:val="Tijeloteksta"/>
        <w:numPr>
          <w:ilvl w:val="0"/>
          <w:numId w:val="48"/>
        </w:numPr>
        <w:tabs>
          <w:tab w:val="left" w:pos="982"/>
        </w:tabs>
        <w:spacing w:after="0"/>
        <w:jc w:val="both"/>
        <w:rPr>
          <w:rStyle w:val="TijelotekstaChar"/>
          <w:lang w:val="pt-BR"/>
        </w:rPr>
      </w:pPr>
      <w:r w:rsidRPr="0042331D">
        <w:rPr>
          <w:rStyle w:val="TijelotekstaChar"/>
          <w:lang w:val="pt-BR"/>
        </w:rPr>
        <w:t>tais documentos também são exigidos de cidadãos da Croácia</w:t>
      </w:r>
    </w:p>
    <w:p w14:paraId="21C19F5D" w14:textId="06059DF0" w:rsidR="006F3F3B" w:rsidRPr="0042331D" w:rsidRDefault="006F3F3B" w:rsidP="006F3F3B">
      <w:pPr>
        <w:pStyle w:val="Tijeloteksta"/>
        <w:numPr>
          <w:ilvl w:val="0"/>
          <w:numId w:val="48"/>
        </w:numPr>
        <w:tabs>
          <w:tab w:val="left" w:pos="982"/>
        </w:tabs>
        <w:spacing w:after="0"/>
        <w:jc w:val="both"/>
        <w:rPr>
          <w:rStyle w:val="TijelotekstaChar"/>
          <w:lang w:val="pt-BR"/>
        </w:rPr>
      </w:pPr>
      <w:r w:rsidRPr="0042331D">
        <w:rPr>
          <w:rStyle w:val="TijelotekstaChar"/>
          <w:lang w:val="pt-BR"/>
        </w:rPr>
        <w:t>não for possível obtê-los de outra forma</w:t>
      </w:r>
    </w:p>
    <w:p w14:paraId="1C0B7FE4" w14:textId="2088C294" w:rsidR="006F3F3B" w:rsidRPr="0042331D" w:rsidRDefault="006F3F3B" w:rsidP="006F3F3B">
      <w:pPr>
        <w:pStyle w:val="Tijeloteksta"/>
        <w:numPr>
          <w:ilvl w:val="0"/>
          <w:numId w:val="48"/>
        </w:numPr>
        <w:tabs>
          <w:tab w:val="left" w:pos="982"/>
        </w:tabs>
        <w:spacing w:after="0"/>
        <w:jc w:val="both"/>
        <w:rPr>
          <w:rStyle w:val="TijelotekstaChar"/>
          <w:lang w:val="pt-BR"/>
        </w:rPr>
      </w:pPr>
      <w:r w:rsidRPr="0042331D">
        <w:rPr>
          <w:rStyle w:val="TijelotekstaChar"/>
          <w:lang w:val="pt-BR"/>
        </w:rPr>
        <w:t>a profissão for regulada de forma diferente em algumas regiões do país ou</w:t>
      </w:r>
    </w:p>
    <w:p w14:paraId="021A16A3" w14:textId="77777777" w:rsidR="006F3F3B" w:rsidRPr="0042331D" w:rsidRDefault="006F3F3B" w:rsidP="006F3F3B">
      <w:pPr>
        <w:pStyle w:val="Tijeloteksta"/>
        <w:numPr>
          <w:ilvl w:val="0"/>
          <w:numId w:val="48"/>
        </w:numPr>
        <w:tabs>
          <w:tab w:val="left" w:pos="982"/>
        </w:tabs>
        <w:spacing w:after="0"/>
        <w:jc w:val="both"/>
        <w:rPr>
          <w:rStyle w:val="TijelotekstaChar"/>
          <w:lang w:val="pt-BR"/>
        </w:rPr>
      </w:pPr>
      <w:r w:rsidRPr="0042331D">
        <w:rPr>
          <w:rStyle w:val="TijelotekstaChar"/>
          <w:lang w:val="pt-BR"/>
        </w:rPr>
        <w:t>as diferenças na regulamentação forem justificadas por motivos predominantes de interesse público relacionados à saúde pública ou à segurança dos destinatários dos serviços.</w:t>
      </w:r>
    </w:p>
    <w:p w14:paraId="4C42C7CE" w14:textId="77777777" w:rsidR="006F3F3B" w:rsidRPr="0042331D" w:rsidRDefault="006F3F3B" w:rsidP="006F3F3B">
      <w:pPr>
        <w:pStyle w:val="Tijeloteksta"/>
        <w:tabs>
          <w:tab w:val="left" w:pos="982"/>
        </w:tabs>
        <w:spacing w:after="0"/>
        <w:jc w:val="both"/>
        <w:rPr>
          <w:rStyle w:val="TijelotekstaChar"/>
          <w:lang w:val="pt-BR"/>
        </w:rPr>
      </w:pPr>
    </w:p>
    <w:p w14:paraId="7EDBA422" w14:textId="77777777" w:rsidR="006F3F3B" w:rsidRPr="0042331D" w:rsidRDefault="006F3F3B" w:rsidP="006F3F3B">
      <w:pPr>
        <w:pStyle w:val="Tijeloteksta"/>
        <w:numPr>
          <w:ilvl w:val="0"/>
          <w:numId w:val="32"/>
        </w:numPr>
        <w:tabs>
          <w:tab w:val="left" w:pos="380"/>
        </w:tabs>
        <w:jc w:val="both"/>
        <w:rPr>
          <w:rStyle w:val="TijelotekstaChar"/>
          <w:lang w:val="pt-BR"/>
        </w:rPr>
      </w:pPr>
      <w:r w:rsidRPr="0042331D">
        <w:rPr>
          <w:rStyle w:val="TijelotekstaChar"/>
          <w:lang w:val="pt-BR"/>
        </w:rPr>
        <w:t>A declaração deve ser apresentada para cada ano em que o médico pretenda prestar serviços temporária ou ocasionalmente na RC.</w:t>
      </w:r>
    </w:p>
    <w:p w14:paraId="50F7B0CA" w14:textId="7F3BA448" w:rsidR="006F3F3B" w:rsidRPr="0042331D" w:rsidRDefault="006F3F3B" w:rsidP="006F3F3B">
      <w:pPr>
        <w:pStyle w:val="Tijeloteksta"/>
        <w:numPr>
          <w:ilvl w:val="0"/>
          <w:numId w:val="32"/>
        </w:numPr>
        <w:tabs>
          <w:tab w:val="left" w:pos="380"/>
        </w:tabs>
        <w:jc w:val="both"/>
        <w:rPr>
          <w:rStyle w:val="TijelotekstaChar"/>
          <w:lang w:val="pt-BR"/>
        </w:rPr>
      </w:pPr>
      <w:r w:rsidRPr="0042331D">
        <w:rPr>
          <w:rStyle w:val="TijelotekstaChar"/>
          <w:lang w:val="pt-BR"/>
        </w:rPr>
        <w:t>Em caso de suspeita justificada quanto à autenticidade da documentação referida no parágrafo 2 deste artigo, a CMC pode solicitar às autoridades competentes a verificação da autenticidade dos comprovantes e da acreditação das instituições de ensino superior e programas de formação, podendo também realizar a verificação por meio do sistema IMI, nos termos previstos na Lei sobre profissões regulamentadas e reconhecimento de qualificações profissionais estrangeiras.</w:t>
      </w:r>
    </w:p>
    <w:p w14:paraId="67B05FC7" w14:textId="34C155C8" w:rsidR="00052469" w:rsidRPr="0042331D" w:rsidRDefault="00B4209E">
      <w:pPr>
        <w:pStyle w:val="Tijeloteksta"/>
        <w:jc w:val="center"/>
        <w:rPr>
          <w:lang w:val="pt-BR"/>
        </w:rPr>
      </w:pPr>
      <w:r w:rsidRPr="0042331D">
        <w:rPr>
          <w:rStyle w:val="TijelotekstaChar"/>
          <w:lang w:val="pt-BR"/>
        </w:rPr>
        <w:t>Artigo 27</w:t>
      </w:r>
    </w:p>
    <w:p w14:paraId="74573892" w14:textId="416A6520" w:rsidR="00052469" w:rsidRPr="0042331D" w:rsidRDefault="002F2150">
      <w:pPr>
        <w:pStyle w:val="Tijeloteksta"/>
        <w:numPr>
          <w:ilvl w:val="0"/>
          <w:numId w:val="33"/>
        </w:numPr>
        <w:tabs>
          <w:tab w:val="left" w:pos="390"/>
        </w:tabs>
        <w:spacing w:after="0" w:line="252" w:lineRule="auto"/>
        <w:jc w:val="both"/>
        <w:rPr>
          <w:lang w:val="pt-BR"/>
        </w:rPr>
      </w:pPr>
      <w:r w:rsidRPr="0042331D">
        <w:rPr>
          <w:rStyle w:val="TijelotekstaChar"/>
          <w:lang w:val="pt-BR"/>
        </w:rPr>
        <w:t>O declarante que, após o término do prazo de um ano, apresentar novamente a declaração para prestação de serviços temporários e ocasionais na RC para o ano seguinte, deverá:</w:t>
      </w:r>
    </w:p>
    <w:p w14:paraId="51222CBA" w14:textId="42A4AE43" w:rsidR="00052469" w:rsidRPr="0042331D" w:rsidRDefault="002F2150">
      <w:pPr>
        <w:pStyle w:val="Tijeloteksta"/>
        <w:numPr>
          <w:ilvl w:val="0"/>
          <w:numId w:val="34"/>
        </w:numPr>
        <w:tabs>
          <w:tab w:val="left" w:pos="670"/>
        </w:tabs>
        <w:spacing w:after="0" w:line="252" w:lineRule="auto"/>
        <w:ind w:left="740" w:hanging="360"/>
        <w:jc w:val="both"/>
        <w:rPr>
          <w:lang w:val="pt-BR"/>
        </w:rPr>
      </w:pPr>
      <w:r w:rsidRPr="0042331D">
        <w:rPr>
          <w:rStyle w:val="TijelotekstaChar"/>
          <w:lang w:val="pt-BR"/>
        </w:rPr>
        <w:t>submeter a declaração para reconhecimento de qualificações profissionais estrangeiras no formulário prescrito</w:t>
      </w:r>
    </w:p>
    <w:p w14:paraId="271AC6CB" w14:textId="68C720A6" w:rsidR="00052469" w:rsidRPr="0042331D" w:rsidRDefault="002F2150">
      <w:pPr>
        <w:pStyle w:val="Tijeloteksta"/>
        <w:numPr>
          <w:ilvl w:val="0"/>
          <w:numId w:val="34"/>
        </w:numPr>
        <w:tabs>
          <w:tab w:val="left" w:pos="730"/>
        </w:tabs>
        <w:spacing w:after="0" w:line="252" w:lineRule="auto"/>
        <w:ind w:firstLine="380"/>
        <w:jc w:val="both"/>
        <w:rPr>
          <w:lang w:val="pt-BR"/>
        </w:rPr>
      </w:pPr>
      <w:r w:rsidRPr="0042331D">
        <w:rPr>
          <w:rStyle w:val="TijelotekstaChar"/>
          <w:lang w:val="pt-BR"/>
        </w:rPr>
        <w:t>anexar à declaração a seguinte documentação:</w:t>
      </w:r>
    </w:p>
    <w:p w14:paraId="5EC25E59" w14:textId="76377921" w:rsidR="002F2150" w:rsidRPr="0042331D" w:rsidRDefault="002F2150" w:rsidP="002F2150">
      <w:pPr>
        <w:pStyle w:val="Tijeloteksta"/>
        <w:numPr>
          <w:ilvl w:val="0"/>
          <w:numId w:val="35"/>
        </w:numPr>
        <w:tabs>
          <w:tab w:val="left" w:pos="1518"/>
        </w:tabs>
        <w:spacing w:after="0" w:line="254" w:lineRule="auto"/>
        <w:ind w:left="1460" w:hanging="360"/>
        <w:jc w:val="both"/>
        <w:rPr>
          <w:rStyle w:val="TijelotekstaChar"/>
          <w:lang w:val="pt-BR"/>
        </w:rPr>
      </w:pPr>
      <w:r w:rsidRPr="0042331D">
        <w:rPr>
          <w:rStyle w:val="TijelotekstaChar"/>
          <w:lang w:val="pt-BR"/>
        </w:rPr>
        <w:t>confirmação das autoridades competentes do país de residência de que o declarante possui estabelecimento profissional ou exerce a atividade médica no Estado-</w:t>
      </w:r>
      <w:r w:rsidR="00425F1B">
        <w:rPr>
          <w:rStyle w:val="TijelotekstaChar"/>
          <w:lang w:val="pt-BR"/>
        </w:rPr>
        <w:t>m</w:t>
      </w:r>
      <w:r w:rsidRPr="0042331D">
        <w:rPr>
          <w:rStyle w:val="TijelotekstaChar"/>
          <w:lang w:val="pt-BR"/>
        </w:rPr>
        <w:t>embro da UE, Estado signatário do Acordo do EEE ou na Confederação Suíça (pode-se apresentar também uma declaração do empregador, devidamente assinada por pessoa autorizada a representar o empregador e carimbada pelo empregador)</w:t>
      </w:r>
    </w:p>
    <w:p w14:paraId="0206363F" w14:textId="2451980A" w:rsidR="002F2150" w:rsidRPr="0042331D" w:rsidRDefault="002F2150" w:rsidP="002F2150">
      <w:pPr>
        <w:pStyle w:val="Tijeloteksta"/>
        <w:numPr>
          <w:ilvl w:val="0"/>
          <w:numId w:val="35"/>
        </w:numPr>
        <w:tabs>
          <w:tab w:val="left" w:pos="1518"/>
        </w:tabs>
        <w:spacing w:after="0" w:line="254" w:lineRule="auto"/>
        <w:ind w:left="1460" w:hanging="360"/>
        <w:jc w:val="both"/>
        <w:rPr>
          <w:rStyle w:val="TijelotekstaChar"/>
          <w:lang w:val="pt-BR"/>
        </w:rPr>
      </w:pPr>
      <w:r w:rsidRPr="0042331D">
        <w:rPr>
          <w:rStyle w:val="TijelotekstaChar"/>
          <w:lang w:val="pt-BR"/>
        </w:rPr>
        <w:t>confirmação das autoridades do país onde o declarante possui estabelecimento profissional, atestando que exerce a profissão regulamentada de médico ou médico especialista no Estado-</w:t>
      </w:r>
      <w:r w:rsidR="00425F1B">
        <w:rPr>
          <w:rStyle w:val="TijelotekstaChar"/>
          <w:lang w:val="pt-BR"/>
        </w:rPr>
        <w:t>m</w:t>
      </w:r>
      <w:r w:rsidRPr="0042331D">
        <w:rPr>
          <w:rStyle w:val="TijelotekstaChar"/>
          <w:lang w:val="pt-BR"/>
        </w:rPr>
        <w:t xml:space="preserve">embro da UE, Estado signatário do Acordo do EEE ou Confederação Suíça, e que, no momento da emissão da confirmação, não existe, nem mesmo temporariamente, qualquer proibição de exercer a profissão regulamentada (conhecido como </w:t>
      </w:r>
      <w:r w:rsidRPr="0042331D">
        <w:rPr>
          <w:rStyle w:val="TijelotekstaChar"/>
          <w:i/>
          <w:iCs/>
          <w:lang w:val="pt-BR"/>
        </w:rPr>
        <w:t>Good Standing</w:t>
      </w:r>
      <w:r w:rsidRPr="0042331D">
        <w:rPr>
          <w:rStyle w:val="TijelotekstaChar"/>
          <w:lang w:val="pt-BR"/>
        </w:rPr>
        <w:t xml:space="preserve"> ou certificado de não-condenação emitido pela autoridade competente)</w:t>
      </w:r>
    </w:p>
    <w:p w14:paraId="5CB6B58F" w14:textId="77777777" w:rsidR="002F2150" w:rsidRPr="0042331D" w:rsidRDefault="002F2150" w:rsidP="002F2150">
      <w:pPr>
        <w:pStyle w:val="Tijeloteksta"/>
        <w:numPr>
          <w:ilvl w:val="0"/>
          <w:numId w:val="35"/>
        </w:numPr>
        <w:tabs>
          <w:tab w:val="left" w:pos="1518"/>
        </w:tabs>
        <w:spacing w:after="0" w:line="254" w:lineRule="auto"/>
        <w:ind w:left="1460" w:hanging="360"/>
        <w:jc w:val="both"/>
        <w:rPr>
          <w:rStyle w:val="TijelotekstaChar"/>
          <w:lang w:val="pt-BR"/>
        </w:rPr>
      </w:pPr>
      <w:r w:rsidRPr="0042331D">
        <w:rPr>
          <w:rStyle w:val="TijelotekstaChar"/>
          <w:lang w:val="pt-BR"/>
        </w:rPr>
        <w:t>comprovante de apólice de seguro de responsabilidade profissional válida na Croácia durante o período em que o declarante pretende exercer a profissão regulamentada</w:t>
      </w:r>
    </w:p>
    <w:p w14:paraId="16815235" w14:textId="575AF38D" w:rsidR="002F2150" w:rsidRPr="0042331D" w:rsidRDefault="002F2150" w:rsidP="002F2150">
      <w:pPr>
        <w:pStyle w:val="Tijeloteksta"/>
        <w:numPr>
          <w:ilvl w:val="0"/>
          <w:numId w:val="35"/>
        </w:numPr>
        <w:tabs>
          <w:tab w:val="left" w:pos="1518"/>
        </w:tabs>
        <w:spacing w:after="0" w:line="254" w:lineRule="auto"/>
        <w:ind w:left="1460" w:hanging="360"/>
        <w:jc w:val="both"/>
        <w:rPr>
          <w:lang w:val="pt-BR"/>
        </w:rPr>
      </w:pPr>
      <w:r w:rsidRPr="0042331D">
        <w:rPr>
          <w:rStyle w:val="TijelotekstaChar"/>
          <w:lang w:val="pt-BR"/>
        </w:rPr>
        <w:t>comprovantes necessários em caso</w:t>
      </w:r>
      <w:r w:rsidRPr="0042331D">
        <w:rPr>
          <w:lang w:val="pt-BR"/>
        </w:rPr>
        <w:t xml:space="preserve"> de alterações na legislação aplicável.</w:t>
      </w:r>
    </w:p>
    <w:p w14:paraId="590D5FD3" w14:textId="77777777" w:rsidR="002F2150" w:rsidRPr="0042331D" w:rsidRDefault="002F2150" w:rsidP="002F2150">
      <w:pPr>
        <w:pStyle w:val="Tijeloteksta"/>
        <w:tabs>
          <w:tab w:val="left" w:pos="1518"/>
        </w:tabs>
        <w:spacing w:after="0" w:line="254" w:lineRule="auto"/>
        <w:ind w:left="1100"/>
        <w:jc w:val="both"/>
        <w:rPr>
          <w:lang w:val="pt-BR"/>
        </w:rPr>
      </w:pPr>
    </w:p>
    <w:p w14:paraId="272F3356" w14:textId="7A36609D" w:rsidR="00052469" w:rsidRPr="0042331D" w:rsidRDefault="002F2150">
      <w:pPr>
        <w:pStyle w:val="Tijeloteksta"/>
        <w:spacing w:after="300"/>
        <w:jc w:val="center"/>
        <w:rPr>
          <w:lang w:val="pt-BR"/>
        </w:rPr>
      </w:pPr>
      <w:r w:rsidRPr="0042331D">
        <w:rPr>
          <w:rStyle w:val="TijelotekstaChar"/>
          <w:lang w:val="pt-BR"/>
        </w:rPr>
        <w:t>Artigo 28</w:t>
      </w:r>
    </w:p>
    <w:p w14:paraId="58D12C2E" w14:textId="135BBF2E" w:rsidR="00052469" w:rsidRPr="0042331D" w:rsidRDefault="002F2150">
      <w:pPr>
        <w:pStyle w:val="Tijeloteksta"/>
        <w:spacing w:after="300"/>
        <w:jc w:val="both"/>
        <w:rPr>
          <w:lang w:val="pt-BR"/>
        </w:rPr>
      </w:pPr>
      <w:r w:rsidRPr="0042331D">
        <w:rPr>
          <w:rStyle w:val="TijelotekstaChar"/>
          <w:lang w:val="pt-BR"/>
        </w:rPr>
        <w:t>O declarante é obrigado a notificar a CMC por escrito, sem demora, sobre qualquer alteração das circunstâncias que tenham permitido a prestação de serviços médicos na Croácia de forma temporária e ocasional.</w:t>
      </w:r>
    </w:p>
    <w:p w14:paraId="6B98B48E" w14:textId="7DF420A8" w:rsidR="00052469" w:rsidRPr="0042331D" w:rsidRDefault="002F2150">
      <w:pPr>
        <w:pStyle w:val="Tijeloteksta"/>
        <w:spacing w:after="300"/>
        <w:jc w:val="center"/>
        <w:rPr>
          <w:lang w:val="pt-BR"/>
        </w:rPr>
      </w:pPr>
      <w:r w:rsidRPr="0042331D">
        <w:rPr>
          <w:rStyle w:val="TijelotekstaChar"/>
          <w:lang w:val="pt-BR"/>
        </w:rPr>
        <w:t>Artigo 29</w:t>
      </w:r>
    </w:p>
    <w:p w14:paraId="5C538F3D" w14:textId="21D634CA" w:rsidR="00052469" w:rsidRPr="0042331D" w:rsidRDefault="002F2150">
      <w:pPr>
        <w:pStyle w:val="Tijeloteksta"/>
        <w:spacing w:after="300"/>
        <w:jc w:val="both"/>
        <w:rPr>
          <w:lang w:val="pt-BR"/>
        </w:rPr>
      </w:pPr>
      <w:r w:rsidRPr="0042331D">
        <w:rPr>
          <w:rStyle w:val="TijelotekstaChar"/>
          <w:lang w:val="pt-BR"/>
        </w:rPr>
        <w:t>O médico ou médico especialista não pode prestar serviços exercendo a profissão regulamentada na RC e não tem o direito de permanecer temporariamente registrado:</w:t>
      </w:r>
    </w:p>
    <w:p w14:paraId="7016BA64" w14:textId="1845555E" w:rsidR="002F2150" w:rsidRPr="0042331D" w:rsidRDefault="002F2150" w:rsidP="002F2150">
      <w:pPr>
        <w:pStyle w:val="Tijeloteksta"/>
        <w:numPr>
          <w:ilvl w:val="0"/>
          <w:numId w:val="36"/>
        </w:numPr>
        <w:tabs>
          <w:tab w:val="left" w:pos="330"/>
        </w:tabs>
        <w:spacing w:after="0"/>
        <w:jc w:val="both"/>
        <w:rPr>
          <w:rStyle w:val="TijelotekstaChar"/>
          <w:lang w:val="pt-BR"/>
        </w:rPr>
      </w:pPr>
      <w:r w:rsidRPr="0042331D">
        <w:rPr>
          <w:rStyle w:val="TijelotekstaChar"/>
          <w:lang w:val="pt-BR"/>
        </w:rPr>
        <w:t xml:space="preserve">se </w:t>
      </w:r>
      <w:r w:rsidR="004E1363">
        <w:rPr>
          <w:rStyle w:val="TijelotekstaChar"/>
          <w:lang w:val="pt-BR"/>
        </w:rPr>
        <w:t>criar</w:t>
      </w:r>
      <w:r w:rsidRPr="0042331D">
        <w:rPr>
          <w:rStyle w:val="TijelotekstaChar"/>
          <w:lang w:val="pt-BR"/>
        </w:rPr>
        <w:t xml:space="preserve"> </w:t>
      </w:r>
      <w:r w:rsidR="004E1363">
        <w:rPr>
          <w:rStyle w:val="TijelotekstaChar"/>
          <w:lang w:val="pt-BR"/>
        </w:rPr>
        <w:t>estabelecimento</w:t>
      </w:r>
      <w:r w:rsidRPr="0042331D">
        <w:rPr>
          <w:rStyle w:val="TijelotekstaChar"/>
          <w:lang w:val="pt-BR"/>
        </w:rPr>
        <w:t xml:space="preserve"> profissional para o exercício da profissão regulamentada na Croácia, ou</w:t>
      </w:r>
    </w:p>
    <w:p w14:paraId="1EB8A917" w14:textId="6DC7E169" w:rsidR="002F2150" w:rsidRDefault="002F2150" w:rsidP="002F2150">
      <w:pPr>
        <w:pStyle w:val="Tijeloteksta"/>
        <w:numPr>
          <w:ilvl w:val="0"/>
          <w:numId w:val="36"/>
        </w:numPr>
        <w:tabs>
          <w:tab w:val="left" w:pos="330"/>
        </w:tabs>
        <w:spacing w:after="0"/>
        <w:jc w:val="both"/>
        <w:rPr>
          <w:lang w:val="pt-BR"/>
        </w:rPr>
      </w:pPr>
      <w:r w:rsidRPr="0042331D">
        <w:rPr>
          <w:rStyle w:val="TijelotekstaChar"/>
          <w:lang w:val="pt-BR"/>
        </w:rPr>
        <w:t>se, de</w:t>
      </w:r>
      <w:r w:rsidRPr="0042331D">
        <w:rPr>
          <w:lang w:val="pt-BR"/>
        </w:rPr>
        <w:t xml:space="preserve"> acordo com a decisão da autoridade competente no Estado de </w:t>
      </w:r>
      <w:r w:rsidR="004E1363">
        <w:rPr>
          <w:lang w:val="pt-BR"/>
        </w:rPr>
        <w:t>estabelecimento</w:t>
      </w:r>
      <w:r w:rsidRPr="0042331D">
        <w:rPr>
          <w:lang w:val="pt-BR"/>
        </w:rPr>
        <w:t xml:space="preserve"> profissional, tiver sido revogado o direito à </w:t>
      </w:r>
      <w:r w:rsidR="004E1363">
        <w:rPr>
          <w:lang w:val="pt-BR"/>
        </w:rPr>
        <w:t>estabelecimento</w:t>
      </w:r>
      <w:r w:rsidRPr="0042331D">
        <w:rPr>
          <w:lang w:val="pt-BR"/>
        </w:rPr>
        <w:t xml:space="preserve"> profissional ou lhe tiver sido temporariamente proibido o exercício da profissão nesse Estado-membro.</w:t>
      </w:r>
    </w:p>
    <w:p w14:paraId="76D68534" w14:textId="77777777" w:rsidR="0042331D" w:rsidRPr="0042331D" w:rsidRDefault="0042331D" w:rsidP="0042331D">
      <w:pPr>
        <w:pStyle w:val="Tijeloteksta"/>
        <w:tabs>
          <w:tab w:val="left" w:pos="330"/>
        </w:tabs>
        <w:spacing w:after="0"/>
        <w:jc w:val="both"/>
        <w:rPr>
          <w:lang w:val="pt-BR"/>
        </w:rPr>
      </w:pPr>
    </w:p>
    <w:p w14:paraId="0C645E4B" w14:textId="77777777" w:rsidR="002F2150" w:rsidRPr="0042331D" w:rsidRDefault="002F2150" w:rsidP="002F2150">
      <w:pPr>
        <w:pStyle w:val="Tijeloteksta"/>
        <w:tabs>
          <w:tab w:val="left" w:pos="330"/>
        </w:tabs>
        <w:spacing w:after="0"/>
        <w:jc w:val="both"/>
        <w:rPr>
          <w:lang w:val="pt-BR"/>
        </w:rPr>
      </w:pPr>
    </w:p>
    <w:p w14:paraId="057CDD14" w14:textId="6BA27144" w:rsidR="00052469" w:rsidRPr="0042331D" w:rsidRDefault="002F2150">
      <w:pPr>
        <w:pStyle w:val="Tijeloteksta"/>
        <w:spacing w:after="300"/>
        <w:jc w:val="center"/>
        <w:rPr>
          <w:lang w:val="pt-BR"/>
        </w:rPr>
      </w:pPr>
      <w:r w:rsidRPr="0042331D">
        <w:rPr>
          <w:rStyle w:val="TijelotekstaChar"/>
          <w:lang w:val="pt-BR"/>
        </w:rPr>
        <w:t>Artigo 30</w:t>
      </w:r>
    </w:p>
    <w:p w14:paraId="2239ED6F" w14:textId="434FAE89" w:rsidR="00052469" w:rsidRPr="0042331D" w:rsidRDefault="002F2150">
      <w:pPr>
        <w:pStyle w:val="Tijeloteksta"/>
        <w:spacing w:after="300"/>
        <w:jc w:val="both"/>
        <w:rPr>
          <w:lang w:val="pt-BR"/>
        </w:rPr>
      </w:pPr>
      <w:r w:rsidRPr="0042331D">
        <w:rPr>
          <w:rStyle w:val="TijelotekstaChar"/>
          <w:lang w:val="pt-BR"/>
        </w:rPr>
        <w:t>Ao requerente da cumpra os requisitos estabelecidos pela Lei sobre profissões regulamentadas e reconhecimento de qualificações profissionais estrangeiras, a CMC pode, no prazo de 30 dias a partir da apresentação da declaração, conceder registro temporário para prestação de serviços de forma temporária e ocasional, por um período de um ano ou pelo período coberto pela apólice de seguro de responsabilidade profissional.</w:t>
      </w:r>
    </w:p>
    <w:p w14:paraId="23567266" w14:textId="61C8875B" w:rsidR="00052469" w:rsidRPr="0042331D" w:rsidRDefault="002F2150">
      <w:pPr>
        <w:pStyle w:val="Tijeloteksta"/>
        <w:spacing w:after="300"/>
        <w:jc w:val="center"/>
        <w:rPr>
          <w:lang w:val="pt-BR"/>
        </w:rPr>
      </w:pPr>
      <w:r w:rsidRPr="0042331D">
        <w:rPr>
          <w:rStyle w:val="TijelotekstaChar"/>
          <w:lang w:val="pt-BR"/>
        </w:rPr>
        <w:t>Artigo 31</w:t>
      </w:r>
    </w:p>
    <w:p w14:paraId="466F79F0" w14:textId="5D9F5ADD" w:rsidR="00052469" w:rsidRPr="0042331D" w:rsidRDefault="00C86321">
      <w:pPr>
        <w:pStyle w:val="Tijeloteksta"/>
        <w:spacing w:after="580"/>
        <w:jc w:val="both"/>
        <w:rPr>
          <w:lang w:val="pt-BR"/>
        </w:rPr>
      </w:pPr>
      <w:r w:rsidRPr="00C86321">
        <w:rPr>
          <w:rStyle w:val="TijelotekstaChar"/>
          <w:lang w:val="pt-BR"/>
        </w:rPr>
        <w:t xml:space="preserve">A </w:t>
      </w:r>
      <w:r>
        <w:rPr>
          <w:rStyle w:val="TijelotekstaChar"/>
          <w:lang w:val="pt-BR"/>
        </w:rPr>
        <w:t>CMC</w:t>
      </w:r>
      <w:r w:rsidRPr="00C86321">
        <w:rPr>
          <w:rStyle w:val="TijelotekstaChar"/>
          <w:lang w:val="pt-BR"/>
        </w:rPr>
        <w:t xml:space="preserve"> é obrigada a fornecer ao ministério responsável pelo trabalho e aos Estados-</w:t>
      </w:r>
      <w:r>
        <w:rPr>
          <w:rStyle w:val="TijelotekstaChar"/>
          <w:lang w:val="pt-BR"/>
        </w:rPr>
        <w:t>m</w:t>
      </w:r>
      <w:r w:rsidRPr="00C86321">
        <w:rPr>
          <w:rStyle w:val="TijelotekstaChar"/>
          <w:lang w:val="pt-BR"/>
        </w:rPr>
        <w:t>embros do país de estabelecimento das pessoas que apresentaram a declaração para a prestação de serviços em caráter temporário e ocasional os dados sobre o número total de declarações recebidas para a prestação de serviços em caráter temporário e ocasional, uma vez por ano, e, no mais tardar, até 30 de abril do ano corrente, referentes ao ano civil anterior.</w:t>
      </w:r>
    </w:p>
    <w:p w14:paraId="3DA5BF95" w14:textId="6154AC61" w:rsidR="00052469" w:rsidRPr="0042331D" w:rsidRDefault="00B718F8">
      <w:pPr>
        <w:pStyle w:val="Heading20"/>
        <w:keepNext/>
        <w:keepLines/>
        <w:rPr>
          <w:lang w:val="pt-BR"/>
        </w:rPr>
      </w:pPr>
      <w:bookmarkStart w:id="4" w:name="bookmark10"/>
      <w:r w:rsidRPr="0042331D">
        <w:rPr>
          <w:rStyle w:val="Heading2"/>
          <w:b/>
          <w:bCs/>
          <w:lang w:val="pt-BR"/>
        </w:rPr>
        <w:t xml:space="preserve">V. </w:t>
      </w:r>
      <w:bookmarkEnd w:id="4"/>
      <w:r w:rsidR="00E37F4F" w:rsidRPr="0042331D">
        <w:rPr>
          <w:rStyle w:val="Heading2"/>
          <w:b/>
          <w:bCs/>
          <w:lang w:val="pt-BR"/>
        </w:rPr>
        <w:t>QUALIFICAÇÕES PROFISSIONAIS QUE NÃO ESTÃO SUJEITAS AO PROCEDIMENTO DE RECONHECIMENTO DE QUALIFICAÇÕES PROFISSIONAIS ESTRANGEIRAS</w:t>
      </w:r>
    </w:p>
    <w:p w14:paraId="1AB39757" w14:textId="29F26EDD" w:rsidR="00052469" w:rsidRPr="0042331D" w:rsidRDefault="00E37F4F">
      <w:pPr>
        <w:pStyle w:val="Tijeloteksta"/>
        <w:spacing w:after="320"/>
        <w:jc w:val="center"/>
        <w:rPr>
          <w:lang w:val="pt-BR"/>
        </w:rPr>
      </w:pPr>
      <w:r w:rsidRPr="0042331D">
        <w:rPr>
          <w:rStyle w:val="TijelotekstaChar"/>
          <w:lang w:val="pt-BR"/>
        </w:rPr>
        <w:t>Artigo 32</w:t>
      </w:r>
    </w:p>
    <w:p w14:paraId="609AA194" w14:textId="4F269233" w:rsidR="00E37F4F" w:rsidRPr="0042331D" w:rsidRDefault="00E37F4F" w:rsidP="00E37F4F">
      <w:pPr>
        <w:pStyle w:val="Tijeloteksta"/>
        <w:numPr>
          <w:ilvl w:val="0"/>
          <w:numId w:val="37"/>
        </w:numPr>
        <w:tabs>
          <w:tab w:val="left" w:pos="385"/>
        </w:tabs>
        <w:jc w:val="both"/>
        <w:rPr>
          <w:rStyle w:val="TijelotekstaChar"/>
          <w:lang w:val="pt-BR"/>
        </w:rPr>
      </w:pPr>
      <w:r w:rsidRPr="0042331D">
        <w:rPr>
          <w:lang w:val="pt-BR"/>
        </w:rPr>
        <w:t xml:space="preserve">Os comprovantes em posse de médicos ou médicos especialistas que atestam a conclusão bem-sucedida de educação formal e, quando necessário, de formação e capacitação profissional, emitidos por autoridade competente em território da antiga Jugoslávia antes de 8 de outubro de 1991, são equiparados, em termos legais, a diplomas, certificados e outros documentos públicos emitidos pelas autoridades competentes da RC, e não estão sujeitos à </w:t>
      </w:r>
      <w:r w:rsidRPr="0042331D">
        <w:rPr>
          <w:rStyle w:val="TijelotekstaChar"/>
          <w:lang w:val="pt-BR"/>
        </w:rPr>
        <w:t>verificação no procedimento de reconhecimento de qualificações profissionais estrangeiras.</w:t>
      </w:r>
    </w:p>
    <w:p w14:paraId="5ACCC7E6" w14:textId="110C1162" w:rsidR="00E37F4F" w:rsidRPr="0042331D" w:rsidRDefault="00E37F4F" w:rsidP="00E37F4F">
      <w:pPr>
        <w:pStyle w:val="Tijeloteksta"/>
        <w:numPr>
          <w:ilvl w:val="0"/>
          <w:numId w:val="37"/>
        </w:numPr>
        <w:tabs>
          <w:tab w:val="left" w:pos="385"/>
        </w:tabs>
        <w:jc w:val="both"/>
        <w:rPr>
          <w:lang w:val="pt-BR"/>
        </w:rPr>
      </w:pPr>
      <w:r w:rsidRPr="0042331D">
        <w:rPr>
          <w:rStyle w:val="TijelotekstaChar"/>
          <w:lang w:val="pt-BR"/>
        </w:rPr>
        <w:t>A CMC encaminhará os médicos ou médicos especialistas ao ministério competente para a saúde para obtenção</w:t>
      </w:r>
      <w:r w:rsidRPr="0042331D">
        <w:rPr>
          <w:lang w:val="pt-BR"/>
        </w:rPr>
        <w:t xml:space="preserve"> de certificado de validade legal equivalente dos documentos públicos obtidos por cidadãos croatas ou estrangeiros nas repúblicas da antiga Jugoslávia antes de 8 de outubro de 1991.</w:t>
      </w:r>
    </w:p>
    <w:p w14:paraId="59AF71D4" w14:textId="252CBC82" w:rsidR="00052469" w:rsidRPr="0042331D" w:rsidRDefault="00B718F8">
      <w:pPr>
        <w:pStyle w:val="Heading20"/>
        <w:keepNext/>
        <w:keepLines/>
        <w:spacing w:after="280"/>
        <w:rPr>
          <w:lang w:val="pt-BR"/>
        </w:rPr>
      </w:pPr>
      <w:bookmarkStart w:id="5" w:name="bookmark12"/>
      <w:r w:rsidRPr="0042331D">
        <w:rPr>
          <w:rStyle w:val="Heading2"/>
          <w:b/>
          <w:bCs/>
          <w:lang w:val="pt-BR"/>
        </w:rPr>
        <w:t xml:space="preserve">VI. </w:t>
      </w:r>
      <w:bookmarkEnd w:id="5"/>
      <w:r w:rsidR="00613F9F" w:rsidRPr="0042331D">
        <w:rPr>
          <w:rStyle w:val="Heading2"/>
          <w:b/>
          <w:bCs/>
          <w:lang w:val="pt-BR"/>
        </w:rPr>
        <w:t>USO DE TÍTULOS PROFISSIONAIS E DE TÍTULOS ADQUIRIDOS APÓS A CONCLUSÃO DO ENSINO SUPERIOR</w:t>
      </w:r>
    </w:p>
    <w:p w14:paraId="3AAEB359" w14:textId="327760F9" w:rsidR="00052469" w:rsidRPr="0042331D" w:rsidRDefault="00E37F4F" w:rsidP="00E37F4F">
      <w:pPr>
        <w:pStyle w:val="Tijeloteksta"/>
        <w:tabs>
          <w:tab w:val="left" w:pos="351"/>
        </w:tabs>
        <w:jc w:val="center"/>
        <w:rPr>
          <w:lang w:val="pt-BR"/>
        </w:rPr>
      </w:pPr>
      <w:r w:rsidRPr="0042331D">
        <w:rPr>
          <w:rStyle w:val="TijelotekstaChar"/>
          <w:lang w:val="pt-BR"/>
        </w:rPr>
        <w:t>Artigo 33</w:t>
      </w:r>
    </w:p>
    <w:p w14:paraId="5EABFBB8" w14:textId="77777777" w:rsidR="00613F9F" w:rsidRPr="0042331D" w:rsidRDefault="00613F9F" w:rsidP="00613F9F">
      <w:pPr>
        <w:pStyle w:val="Tijeloteksta"/>
        <w:numPr>
          <w:ilvl w:val="0"/>
          <w:numId w:val="39"/>
        </w:numPr>
        <w:tabs>
          <w:tab w:val="left" w:pos="380"/>
        </w:tabs>
        <w:jc w:val="both"/>
        <w:rPr>
          <w:rStyle w:val="TijelotekstaChar"/>
          <w:lang w:val="pt-BR"/>
        </w:rPr>
      </w:pPr>
      <w:r w:rsidRPr="0042331D">
        <w:rPr>
          <w:lang w:val="pt-BR"/>
        </w:rPr>
        <w:t xml:space="preserve">O uso de títulos profissionais, bem como de títulos acadêmicos e graus acadêmicos obtidos após </w:t>
      </w:r>
      <w:r w:rsidRPr="0042331D">
        <w:rPr>
          <w:rStyle w:val="TijelotekstaChar"/>
          <w:lang w:val="pt-BR"/>
        </w:rPr>
        <w:t>a conclusão do ensino superior, é regulado pelas disposições da Lei sobre profissões regulamentadas e reconhecimento de qualificações profissionais estrangeiras.</w:t>
      </w:r>
    </w:p>
    <w:p w14:paraId="537DE7C5" w14:textId="4A975757" w:rsidR="00613F9F" w:rsidRPr="0042331D" w:rsidRDefault="000C5F40" w:rsidP="00613F9F">
      <w:pPr>
        <w:pStyle w:val="Tijeloteksta"/>
        <w:numPr>
          <w:ilvl w:val="0"/>
          <w:numId w:val="39"/>
        </w:numPr>
        <w:tabs>
          <w:tab w:val="left" w:pos="380"/>
        </w:tabs>
        <w:jc w:val="both"/>
        <w:rPr>
          <w:rStyle w:val="TijelotekstaChar"/>
          <w:lang w:val="pt-BR"/>
        </w:rPr>
      </w:pPr>
      <w:r w:rsidRPr="000C5F40">
        <w:rPr>
          <w:rStyle w:val="TijelotekstaChar"/>
          <w:lang w:val="pt-BR"/>
        </w:rPr>
        <w:t xml:space="preserve">Na decisão que a </w:t>
      </w:r>
      <w:r>
        <w:rPr>
          <w:rStyle w:val="TijelotekstaChar"/>
          <w:lang w:val="pt-BR"/>
        </w:rPr>
        <w:t>CMC</w:t>
      </w:r>
      <w:r w:rsidRPr="000C5F40">
        <w:rPr>
          <w:rStyle w:val="TijelotekstaChar"/>
          <w:lang w:val="pt-BR"/>
        </w:rPr>
        <w:t xml:space="preserve"> emite no âmbito de suas competências no processo de reconhecimento de qualificações profissionais estrangeiras pelo sistema geral, o requerente adquire o direito de usar a designação profissional e acadêmica de “doutor em medicina”, que, na Croácia, é equivalente ao título profissional e acadêmico obtido mediante a conclusão de qualificação de ensino superior.</w:t>
      </w:r>
    </w:p>
    <w:p w14:paraId="1CC4DEAC" w14:textId="774CAC60" w:rsidR="00613F9F" w:rsidRPr="0042331D" w:rsidRDefault="00613F9F" w:rsidP="00613F9F">
      <w:pPr>
        <w:pStyle w:val="Tijeloteksta"/>
        <w:numPr>
          <w:ilvl w:val="0"/>
          <w:numId w:val="39"/>
        </w:numPr>
        <w:tabs>
          <w:tab w:val="left" w:pos="380"/>
        </w:tabs>
        <w:jc w:val="both"/>
        <w:rPr>
          <w:lang w:val="pt-BR"/>
        </w:rPr>
      </w:pPr>
      <w:r w:rsidRPr="0042331D">
        <w:rPr>
          <w:rStyle w:val="TijelotekstaChar"/>
          <w:lang w:val="pt-BR"/>
        </w:rPr>
        <w:t>Na decisão emitida no procedimento do sistema automático de reconhecimento de qualificações profissionais</w:t>
      </w:r>
      <w:r w:rsidRPr="0042331D">
        <w:rPr>
          <w:lang w:val="pt-BR"/>
        </w:rPr>
        <w:t xml:space="preserve"> estrangeiras, o requerente adquire também o direito de usar o título profissional de médico ou de médico especialista.</w:t>
      </w:r>
    </w:p>
    <w:p w14:paraId="57C7DA64" w14:textId="6209C64E" w:rsidR="00052469" w:rsidRPr="0042331D" w:rsidRDefault="00613F9F">
      <w:pPr>
        <w:pStyle w:val="Heading20"/>
        <w:keepNext/>
        <w:keepLines/>
        <w:numPr>
          <w:ilvl w:val="0"/>
          <w:numId w:val="40"/>
        </w:numPr>
        <w:tabs>
          <w:tab w:val="left" w:pos="524"/>
        </w:tabs>
        <w:spacing w:after="280"/>
        <w:rPr>
          <w:lang w:val="pt-BR"/>
        </w:rPr>
      </w:pPr>
      <w:bookmarkStart w:id="6" w:name="bookmark14"/>
      <w:r w:rsidRPr="0042331D">
        <w:rPr>
          <w:rStyle w:val="Heading2"/>
          <w:b/>
          <w:bCs/>
          <w:lang w:val="pt-BR"/>
        </w:rPr>
        <w:t>CUSTOS DO PROCESSO</w:t>
      </w:r>
      <w:bookmarkEnd w:id="6"/>
    </w:p>
    <w:p w14:paraId="29120566" w14:textId="03C490CC" w:rsidR="00052469" w:rsidRPr="0042331D" w:rsidRDefault="00613F9F">
      <w:pPr>
        <w:pStyle w:val="Tijeloteksta"/>
        <w:jc w:val="center"/>
        <w:rPr>
          <w:lang w:val="pt-BR"/>
        </w:rPr>
      </w:pPr>
      <w:r w:rsidRPr="0042331D">
        <w:rPr>
          <w:rStyle w:val="TijelotekstaChar"/>
          <w:lang w:val="pt-BR"/>
        </w:rPr>
        <w:t>Artigo 34</w:t>
      </w:r>
    </w:p>
    <w:p w14:paraId="3365D014" w14:textId="359E24F6" w:rsidR="00052469" w:rsidRPr="0042331D" w:rsidRDefault="00613F9F">
      <w:pPr>
        <w:pStyle w:val="Tijeloteksta"/>
        <w:numPr>
          <w:ilvl w:val="0"/>
          <w:numId w:val="41"/>
        </w:numPr>
        <w:tabs>
          <w:tab w:val="left" w:pos="380"/>
        </w:tabs>
        <w:jc w:val="both"/>
        <w:rPr>
          <w:lang w:val="pt-BR"/>
        </w:rPr>
      </w:pPr>
      <w:r w:rsidRPr="0042331D">
        <w:rPr>
          <w:rStyle w:val="TijelotekstaChar"/>
          <w:lang w:val="pt-BR"/>
        </w:rPr>
        <w:t>O valor da taxa relativa aos custos do processo de reconhecimento de qualificações profissionais estrangeiras, tanto pelo sistema geral quanto pelo sistema automático, é determinado na tabela de preços para o reconhecimento de qualificações profissionais estrangeiras, estabelecida por regulamento pelo ministro competente da Saúde.</w:t>
      </w:r>
    </w:p>
    <w:p w14:paraId="63EC67AE" w14:textId="3F19880D" w:rsidR="00052469" w:rsidRPr="0042331D" w:rsidRDefault="00613F9F">
      <w:pPr>
        <w:pStyle w:val="Tijeloteksta"/>
        <w:numPr>
          <w:ilvl w:val="0"/>
          <w:numId w:val="41"/>
        </w:numPr>
        <w:tabs>
          <w:tab w:val="left" w:pos="380"/>
        </w:tabs>
        <w:jc w:val="both"/>
        <w:rPr>
          <w:rStyle w:val="TijelotekstaChar"/>
          <w:lang w:val="pt-BR"/>
        </w:rPr>
      </w:pPr>
      <w:r w:rsidRPr="0042331D">
        <w:rPr>
          <w:rStyle w:val="TijelotekstaChar"/>
          <w:lang w:val="pt-BR"/>
        </w:rPr>
        <w:t>Os requerentes para prestação de serviços de forma temporária e ocasional com base em qualificações profissionais estrangeiras estão isentos do pagamento dos custos do processo.</w:t>
      </w:r>
    </w:p>
    <w:p w14:paraId="7C1662D0" w14:textId="77777777" w:rsidR="00613F9F" w:rsidRPr="0042331D" w:rsidRDefault="00613F9F" w:rsidP="00613F9F">
      <w:pPr>
        <w:pStyle w:val="Tijeloteksta"/>
        <w:tabs>
          <w:tab w:val="left" w:pos="380"/>
        </w:tabs>
        <w:jc w:val="both"/>
        <w:rPr>
          <w:lang w:val="pt-BR"/>
        </w:rPr>
      </w:pPr>
    </w:p>
    <w:p w14:paraId="7F5264EF" w14:textId="0759968F" w:rsidR="00052469" w:rsidRPr="0042331D" w:rsidRDefault="00613F9F">
      <w:pPr>
        <w:pStyle w:val="Heading20"/>
        <w:keepNext/>
        <w:keepLines/>
        <w:numPr>
          <w:ilvl w:val="0"/>
          <w:numId w:val="40"/>
        </w:numPr>
        <w:tabs>
          <w:tab w:val="left" w:pos="670"/>
        </w:tabs>
        <w:spacing w:after="280"/>
        <w:rPr>
          <w:lang w:val="pt-BR"/>
        </w:rPr>
      </w:pPr>
      <w:r w:rsidRPr="0042331D">
        <w:rPr>
          <w:rStyle w:val="Heading2"/>
          <w:b/>
          <w:bCs/>
          <w:lang w:val="pt-BR"/>
        </w:rPr>
        <w:t>DISPOSIÇÕES TRANSITÓRIAS E FINAIS</w:t>
      </w:r>
    </w:p>
    <w:p w14:paraId="16F72627" w14:textId="06E31CF9" w:rsidR="00052469" w:rsidRPr="0042331D" w:rsidRDefault="00613F9F">
      <w:pPr>
        <w:pStyle w:val="Tijeloteksta"/>
        <w:spacing w:after="580"/>
        <w:jc w:val="center"/>
        <w:rPr>
          <w:lang w:val="pt-BR"/>
        </w:rPr>
      </w:pPr>
      <w:r w:rsidRPr="0042331D">
        <w:rPr>
          <w:rStyle w:val="TijelotekstaChar"/>
          <w:lang w:val="pt-BR"/>
        </w:rPr>
        <w:t>Artigo 35</w:t>
      </w:r>
    </w:p>
    <w:p w14:paraId="227F6D6D" w14:textId="5F831C84" w:rsidR="00052469" w:rsidRPr="0042331D" w:rsidRDefault="00613F9F">
      <w:pPr>
        <w:pStyle w:val="Tijeloteksta"/>
        <w:jc w:val="both"/>
        <w:rPr>
          <w:lang w:val="pt-BR"/>
        </w:rPr>
      </w:pPr>
      <w:r w:rsidRPr="0042331D">
        <w:rPr>
          <w:rStyle w:val="TijelotekstaChar"/>
          <w:lang w:val="pt-BR"/>
        </w:rPr>
        <w:t>Para todas as questões que não sejam regulamentadas por este Regulamento, aplicam-se as disposições da legislação vigente da RC relativas ao reconhecimento de qualificações profissionais estrangeiras.</w:t>
      </w:r>
    </w:p>
    <w:p w14:paraId="0D95BE7A" w14:textId="4FA0CBD2" w:rsidR="00052469" w:rsidRPr="0042331D" w:rsidRDefault="00613F9F">
      <w:pPr>
        <w:pStyle w:val="Tijeloteksta"/>
        <w:jc w:val="center"/>
        <w:rPr>
          <w:lang w:val="pt-BR"/>
        </w:rPr>
      </w:pPr>
      <w:r w:rsidRPr="0042331D">
        <w:rPr>
          <w:rStyle w:val="TijelotekstaChar"/>
          <w:lang w:val="pt-BR"/>
        </w:rPr>
        <w:t>Artigo 36</w:t>
      </w:r>
    </w:p>
    <w:p w14:paraId="44B8F38F" w14:textId="6EE71E45" w:rsidR="00052469" w:rsidRPr="0042331D" w:rsidRDefault="00613F9F">
      <w:pPr>
        <w:pStyle w:val="Tijeloteksta"/>
        <w:jc w:val="both"/>
        <w:rPr>
          <w:lang w:val="pt-BR"/>
        </w:rPr>
      </w:pPr>
      <w:r w:rsidRPr="0042331D">
        <w:rPr>
          <w:rStyle w:val="TijelotekstaChar"/>
          <w:lang w:val="pt-BR"/>
        </w:rPr>
        <w:t>Os processos em andamento na data de entrada em vigor deste Regulamento continuarão a ser conduzidos de acordo com as suas disposições.</w:t>
      </w:r>
    </w:p>
    <w:p w14:paraId="7F93751A" w14:textId="77777777" w:rsidR="000C5F40" w:rsidRDefault="000C5F40">
      <w:pPr>
        <w:pStyle w:val="Tijeloteksta"/>
        <w:jc w:val="center"/>
        <w:rPr>
          <w:rStyle w:val="TijelotekstaChar"/>
          <w:lang w:val="pt-BR"/>
        </w:rPr>
      </w:pPr>
    </w:p>
    <w:p w14:paraId="0664995B" w14:textId="2AFE79CD" w:rsidR="00052469" w:rsidRPr="0042331D" w:rsidRDefault="00613F9F">
      <w:pPr>
        <w:pStyle w:val="Tijeloteksta"/>
        <w:jc w:val="center"/>
        <w:rPr>
          <w:lang w:val="pt-BR"/>
        </w:rPr>
      </w:pPr>
      <w:r w:rsidRPr="0042331D">
        <w:rPr>
          <w:rStyle w:val="TijelotekstaChar"/>
          <w:lang w:val="pt-BR"/>
        </w:rPr>
        <w:t>Artigo 37</w:t>
      </w:r>
    </w:p>
    <w:p w14:paraId="7E9FC2AD" w14:textId="767C6028" w:rsidR="00613F9F" w:rsidRPr="0042331D" w:rsidRDefault="00613F9F">
      <w:pPr>
        <w:pStyle w:val="Tijeloteksta"/>
        <w:jc w:val="both"/>
        <w:rPr>
          <w:lang w:val="pt-BR"/>
        </w:rPr>
      </w:pPr>
      <w:r w:rsidRPr="0042331D">
        <w:rPr>
          <w:lang w:val="pt-BR"/>
        </w:rPr>
        <w:t>Até a adoção da tabela de preços mencionada no Artigo 34 deste Regulamento, aplica-se a Tabela de Serviços Relativos ao Processo de Reconhecimento de Qualificações Profissionais Estrangeiras da CMC, CLASSE: 03-70/2013/8, NÚMERO DE REGISTRO: 385-03-70-35/2013/29, de 15 de novembro de 2013, para a qual o Ministério da Saúde deu aprovação mediante ofício CLASSE: 510-08/13-01/54, NÚMERO DE REGISTRO: 534-07-1-2-2/3-13-3, de 29 de novembro de 2013.</w:t>
      </w:r>
    </w:p>
    <w:p w14:paraId="4FB21E0F" w14:textId="183C4A65" w:rsidR="00052469" w:rsidRPr="0042331D" w:rsidRDefault="00613F9F">
      <w:pPr>
        <w:pStyle w:val="Tijeloteksta"/>
        <w:jc w:val="center"/>
        <w:rPr>
          <w:lang w:val="pt-BR"/>
        </w:rPr>
      </w:pPr>
      <w:r w:rsidRPr="0042331D">
        <w:rPr>
          <w:rStyle w:val="TijelotekstaChar"/>
          <w:lang w:val="pt-BR"/>
        </w:rPr>
        <w:t>Artigo 38</w:t>
      </w:r>
    </w:p>
    <w:p w14:paraId="7F380222" w14:textId="0432E302" w:rsidR="00052469" w:rsidRPr="0042331D" w:rsidRDefault="00613F9F">
      <w:pPr>
        <w:pStyle w:val="Tijeloteksta"/>
        <w:spacing w:after="0"/>
        <w:jc w:val="both"/>
        <w:rPr>
          <w:lang w:val="pt-BR"/>
        </w:rPr>
      </w:pPr>
      <w:r w:rsidRPr="0042331D">
        <w:rPr>
          <w:rStyle w:val="TijelotekstaChar"/>
          <w:lang w:val="pt-BR"/>
        </w:rPr>
        <w:t>Com a entrada em vigor deste Regulamento, deixam de vigorar:</w:t>
      </w:r>
    </w:p>
    <w:p w14:paraId="26B51244" w14:textId="57005929" w:rsidR="00613F9F" w:rsidRPr="0042331D" w:rsidRDefault="00613F9F" w:rsidP="00613F9F">
      <w:pPr>
        <w:pStyle w:val="Tijeloteksta"/>
        <w:numPr>
          <w:ilvl w:val="0"/>
          <w:numId w:val="42"/>
        </w:numPr>
        <w:tabs>
          <w:tab w:val="left" w:pos="798"/>
        </w:tabs>
        <w:spacing w:after="0"/>
        <w:ind w:left="737" w:hanging="357"/>
        <w:jc w:val="both"/>
        <w:rPr>
          <w:rStyle w:val="TijelotekstaChar"/>
          <w:lang w:val="pt-BR"/>
        </w:rPr>
      </w:pPr>
      <w:r w:rsidRPr="0042331D">
        <w:rPr>
          <w:rStyle w:val="TijelotekstaChar"/>
          <w:lang w:val="pt-BR"/>
        </w:rPr>
        <w:t>O Regulamento sobre o procedimento de reconhecimento de qualificações profissionais estrangeiras de 19 de maio de 2018</w:t>
      </w:r>
    </w:p>
    <w:p w14:paraId="39B3E312" w14:textId="43695755" w:rsidR="00613F9F" w:rsidRDefault="00613F9F" w:rsidP="0042331D">
      <w:pPr>
        <w:pStyle w:val="Tijeloteksta"/>
        <w:numPr>
          <w:ilvl w:val="0"/>
          <w:numId w:val="42"/>
        </w:numPr>
        <w:tabs>
          <w:tab w:val="left" w:pos="798"/>
        </w:tabs>
        <w:spacing w:after="0"/>
        <w:ind w:left="737" w:hanging="357"/>
        <w:jc w:val="both"/>
        <w:rPr>
          <w:lang w:val="pt-BR"/>
        </w:rPr>
      </w:pPr>
      <w:r w:rsidRPr="0042331D">
        <w:rPr>
          <w:rStyle w:val="TijelotekstaChar"/>
          <w:lang w:val="pt-BR"/>
        </w:rPr>
        <w:t>O Regulamento sobre o procedimento de reconhecimento de qualificações profissionais estrangeiras</w:t>
      </w:r>
      <w:r w:rsidRPr="0042331D">
        <w:rPr>
          <w:lang w:val="pt-BR"/>
        </w:rPr>
        <w:t xml:space="preserve"> de 10 de abril de 2017</w:t>
      </w:r>
    </w:p>
    <w:p w14:paraId="58D0F23C" w14:textId="77777777" w:rsidR="000C5F40" w:rsidRPr="0042331D" w:rsidRDefault="000C5F40" w:rsidP="000C5F40">
      <w:pPr>
        <w:pStyle w:val="Tijeloteksta"/>
        <w:tabs>
          <w:tab w:val="left" w:pos="798"/>
        </w:tabs>
        <w:spacing w:after="0"/>
        <w:ind w:left="737"/>
        <w:jc w:val="both"/>
        <w:rPr>
          <w:rStyle w:val="TijelotekstaChar"/>
          <w:lang w:val="pt-BR"/>
        </w:rPr>
      </w:pPr>
    </w:p>
    <w:p w14:paraId="7108EFBF" w14:textId="57AD982D" w:rsidR="00052469" w:rsidRPr="0042331D" w:rsidRDefault="00613F9F">
      <w:pPr>
        <w:pStyle w:val="Tijeloteksta"/>
        <w:jc w:val="center"/>
        <w:rPr>
          <w:lang w:val="pt-BR"/>
        </w:rPr>
      </w:pPr>
      <w:r w:rsidRPr="0042331D">
        <w:rPr>
          <w:rStyle w:val="TijelotekstaChar"/>
          <w:lang w:val="pt-BR"/>
        </w:rPr>
        <w:t>Artigo 39</w:t>
      </w:r>
    </w:p>
    <w:p w14:paraId="7EE27821" w14:textId="0AF82085" w:rsidR="00052469" w:rsidRPr="0042331D" w:rsidRDefault="00613F9F">
      <w:pPr>
        <w:pStyle w:val="Tijeloteksta"/>
        <w:jc w:val="both"/>
        <w:rPr>
          <w:lang w:val="pt-BR"/>
        </w:rPr>
      </w:pPr>
      <w:r w:rsidRPr="0042331D">
        <w:rPr>
          <w:rStyle w:val="TijelotekstaChar"/>
          <w:lang w:val="pt-BR"/>
        </w:rPr>
        <w:t>Este Regulamento será publicado no quadro de avisos da CMC e entrará em vigor no oitavo dia após a sua publicação no referido quadro.</w:t>
      </w:r>
    </w:p>
    <w:p w14:paraId="51279308" w14:textId="083161CE" w:rsidR="00052469" w:rsidRPr="0042331D" w:rsidRDefault="00613F9F">
      <w:pPr>
        <w:pStyle w:val="Tijeloteksta"/>
        <w:spacing w:after="0"/>
        <w:jc w:val="both"/>
        <w:rPr>
          <w:sz w:val="20"/>
          <w:szCs w:val="20"/>
          <w:lang w:val="pt-BR"/>
        </w:rPr>
      </w:pPr>
      <w:r w:rsidRPr="0042331D">
        <w:rPr>
          <w:rStyle w:val="TijelotekstaChar"/>
          <w:sz w:val="20"/>
          <w:szCs w:val="20"/>
          <w:lang w:val="pt-BR"/>
        </w:rPr>
        <w:t>CLASSE: 011-03/19-01/21</w:t>
      </w:r>
    </w:p>
    <w:p w14:paraId="76407C49" w14:textId="6A83D982" w:rsidR="00052469" w:rsidRPr="0042331D" w:rsidRDefault="00613F9F">
      <w:pPr>
        <w:pStyle w:val="Tijeloteksta"/>
        <w:spacing w:after="220" w:line="218" w:lineRule="auto"/>
        <w:jc w:val="both"/>
        <w:rPr>
          <w:sz w:val="20"/>
          <w:szCs w:val="20"/>
          <w:lang w:val="pt-BR"/>
        </w:rPr>
      </w:pPr>
      <w:r w:rsidRPr="0042331D">
        <w:rPr>
          <w:rStyle w:val="TijelotekstaChar"/>
          <w:sz w:val="20"/>
          <w:szCs w:val="20"/>
          <w:lang w:val="pt-BR"/>
        </w:rPr>
        <w:t>NÚMERO DE REGISTRO: 385-02/01-19-01</w:t>
      </w:r>
    </w:p>
    <w:p w14:paraId="22ECE951" w14:textId="5DE04C7E" w:rsidR="00052469" w:rsidRPr="0042331D" w:rsidRDefault="00B718F8">
      <w:pPr>
        <w:pStyle w:val="Tijeloteksta"/>
        <w:spacing w:after="0"/>
        <w:ind w:left="5220"/>
        <w:jc w:val="both"/>
        <w:rPr>
          <w:lang w:val="pt-BR"/>
        </w:rPr>
      </w:pPr>
      <w:r w:rsidRPr="0042331D">
        <w:rPr>
          <w:rStyle w:val="TijelotekstaChar"/>
          <w:lang w:val="pt-BR"/>
        </w:rPr>
        <w:t>Pre</w:t>
      </w:r>
      <w:r w:rsidR="00FB6F81" w:rsidRPr="0042331D">
        <w:rPr>
          <w:rStyle w:val="TijelotekstaChar"/>
          <w:lang w:val="pt-BR"/>
        </w:rPr>
        <w:t>sidente da Assembleia</w:t>
      </w:r>
    </w:p>
    <w:p w14:paraId="75BF985F" w14:textId="04E1F3DE" w:rsidR="00052469" w:rsidRPr="0042331D" w:rsidRDefault="00FB6F81">
      <w:pPr>
        <w:pStyle w:val="Tijeloteksta"/>
        <w:spacing w:after="220" w:line="202" w:lineRule="auto"/>
        <w:ind w:left="5040"/>
        <w:jc w:val="both"/>
        <w:rPr>
          <w:lang w:val="pt-BR"/>
        </w:rPr>
      </w:pPr>
      <w:r w:rsidRPr="0042331D">
        <w:rPr>
          <w:rStyle w:val="TijelotekstaChar"/>
          <w:lang w:val="pt-BR"/>
        </w:rPr>
        <w:t>da Câmara Médica da Croácia</w:t>
      </w:r>
    </w:p>
    <w:p w14:paraId="52456D72" w14:textId="5851158F" w:rsidR="00052469" w:rsidRPr="0042331D" w:rsidRDefault="00B718F8">
      <w:pPr>
        <w:pStyle w:val="Tijeloteksta"/>
        <w:spacing w:after="440"/>
        <w:ind w:left="4420"/>
        <w:jc w:val="both"/>
        <w:rPr>
          <w:lang w:val="pt-BR"/>
        </w:rPr>
      </w:pPr>
      <w:r w:rsidRPr="0042331D">
        <w:rPr>
          <w:rStyle w:val="TijelotekstaChar"/>
          <w:lang w:val="pt-BR"/>
        </w:rPr>
        <w:t xml:space="preserve">doc.dr.sc. Krešimir Dolić, </w:t>
      </w:r>
      <w:r w:rsidR="000C5F40" w:rsidRPr="0042331D">
        <w:rPr>
          <w:rStyle w:val="TijelotekstaChar"/>
          <w:lang w:val="pt-BR"/>
        </w:rPr>
        <w:t>dr., med.</w:t>
      </w:r>
      <w:r w:rsidRPr="0042331D">
        <w:rPr>
          <w:rStyle w:val="TijelotekstaChar"/>
          <w:lang w:val="pt-BR"/>
        </w:rPr>
        <w:t xml:space="preserve"> </w:t>
      </w:r>
      <w:r w:rsidR="00FB6F81" w:rsidRPr="0042331D">
        <w:rPr>
          <w:rStyle w:val="TijelotekstaChar"/>
          <w:lang w:val="pt-BR"/>
        </w:rPr>
        <w:t>assinatura</w:t>
      </w:r>
    </w:p>
    <w:p w14:paraId="4C848ED9" w14:textId="5281EFFB" w:rsidR="00052469" w:rsidRPr="0042331D" w:rsidRDefault="00FB6F81">
      <w:pPr>
        <w:pStyle w:val="Tijeloteksta"/>
        <w:spacing w:after="480"/>
        <w:jc w:val="both"/>
        <w:rPr>
          <w:lang w:val="pt-BR"/>
        </w:rPr>
      </w:pPr>
      <w:r w:rsidRPr="0042331D">
        <w:rPr>
          <w:rStyle w:val="TijelotekstaChar"/>
          <w:lang w:val="pt-BR"/>
        </w:rPr>
        <w:t>Este Regulamento foi publicado no quadro de avisos da CMC em 19 de dezembro de 2019.</w:t>
      </w:r>
    </w:p>
    <w:p w14:paraId="2958C09F" w14:textId="77777777" w:rsidR="00FB6F81" w:rsidRPr="0042331D" w:rsidRDefault="00FB6F81" w:rsidP="00FB6F81">
      <w:pPr>
        <w:pStyle w:val="Tijeloteksta"/>
        <w:spacing w:after="0"/>
        <w:ind w:left="5220"/>
        <w:jc w:val="both"/>
        <w:rPr>
          <w:lang w:val="pt-BR"/>
        </w:rPr>
      </w:pPr>
      <w:r w:rsidRPr="0042331D">
        <w:rPr>
          <w:rStyle w:val="TijelotekstaChar"/>
          <w:lang w:val="pt-BR"/>
        </w:rPr>
        <w:t>Presidente da Assembleia</w:t>
      </w:r>
    </w:p>
    <w:p w14:paraId="4CE26625" w14:textId="77777777" w:rsidR="00FB6F81" w:rsidRPr="0042331D" w:rsidRDefault="00FB6F81" w:rsidP="00FB6F81">
      <w:pPr>
        <w:pStyle w:val="Tijeloteksta"/>
        <w:spacing w:after="220" w:line="202" w:lineRule="auto"/>
        <w:ind w:left="5040"/>
        <w:jc w:val="both"/>
        <w:rPr>
          <w:lang w:val="pt-BR"/>
        </w:rPr>
      </w:pPr>
      <w:r w:rsidRPr="0042331D">
        <w:rPr>
          <w:rStyle w:val="TijelotekstaChar"/>
          <w:lang w:val="pt-BR"/>
        </w:rPr>
        <w:t>da Câmara Médica da Croácia</w:t>
      </w:r>
    </w:p>
    <w:p w14:paraId="24757B7D" w14:textId="23B623F5" w:rsidR="00FB6F81" w:rsidRPr="0042331D" w:rsidRDefault="00FB6F81" w:rsidP="00FB6F81">
      <w:pPr>
        <w:pStyle w:val="Tijeloteksta"/>
        <w:spacing w:after="440"/>
        <w:ind w:left="4420"/>
        <w:jc w:val="both"/>
        <w:rPr>
          <w:lang w:val="pt-BR"/>
        </w:rPr>
      </w:pPr>
      <w:r w:rsidRPr="0042331D">
        <w:rPr>
          <w:rStyle w:val="TijelotekstaChar"/>
          <w:lang w:val="pt-BR"/>
        </w:rPr>
        <w:t xml:space="preserve">doc.dr.sc. Krešimir Dolić, </w:t>
      </w:r>
      <w:r w:rsidR="000C5F40" w:rsidRPr="0042331D">
        <w:rPr>
          <w:rStyle w:val="TijelotekstaChar"/>
          <w:lang w:val="pt-BR"/>
        </w:rPr>
        <w:t>dr., med.</w:t>
      </w:r>
      <w:r w:rsidRPr="0042331D">
        <w:rPr>
          <w:rStyle w:val="TijelotekstaChar"/>
          <w:lang w:val="pt-BR"/>
        </w:rPr>
        <w:t xml:space="preserve"> assinatura</w:t>
      </w:r>
    </w:p>
    <w:p w14:paraId="5B053EB6" w14:textId="30B4F647" w:rsidR="00052469" w:rsidRPr="0042331D" w:rsidRDefault="00B718F8">
      <w:pPr>
        <w:pStyle w:val="Tijeloteksta"/>
        <w:ind w:left="4420"/>
        <w:jc w:val="both"/>
        <w:rPr>
          <w:lang w:val="pt-BR"/>
        </w:rPr>
      </w:pPr>
      <w:r w:rsidRPr="0042331D">
        <w:rPr>
          <w:lang w:val="pt-BR"/>
        </w:rPr>
        <w:br w:type="page"/>
      </w:r>
    </w:p>
    <w:p w14:paraId="7343BB3C" w14:textId="0FDE80E0" w:rsidR="00052469" w:rsidRPr="0042331D" w:rsidRDefault="00FB6F81">
      <w:pPr>
        <w:pStyle w:val="Tijeloteksta"/>
        <w:spacing w:after="260"/>
        <w:rPr>
          <w:lang w:val="pt-BR"/>
        </w:rPr>
      </w:pPr>
      <w:r w:rsidRPr="0042331D">
        <w:rPr>
          <w:rStyle w:val="TijelotekstaChar"/>
          <w:lang w:val="pt-BR"/>
        </w:rPr>
        <w:t>ANEXO I</w:t>
      </w:r>
    </w:p>
    <w:p w14:paraId="0872D4F3" w14:textId="0AFCC774" w:rsidR="00052469" w:rsidRPr="0042331D" w:rsidRDefault="00FB6F81">
      <w:pPr>
        <w:pStyle w:val="Tijeloteksta"/>
        <w:spacing w:after="260"/>
        <w:rPr>
          <w:lang w:val="pt-BR"/>
        </w:rPr>
      </w:pPr>
      <w:r w:rsidRPr="0042331D">
        <w:rPr>
          <w:rStyle w:val="TijelotekstaChar"/>
          <w:lang w:val="pt-BR"/>
        </w:rPr>
        <w:t>Pedido de reconhecimento de qualificação / prestação de serviços temporários e ocasionais</w:t>
      </w:r>
    </w:p>
    <w:p w14:paraId="611FECB8" w14:textId="37DA2F8E" w:rsidR="00052469" w:rsidRDefault="00B718F8" w:rsidP="004001F6">
      <w:pPr>
        <w:pStyle w:val="Tijeloteksta"/>
        <w:spacing w:after="520"/>
        <w:rPr>
          <w:rStyle w:val="TijelotekstaChar"/>
          <w:lang w:val="en-GB"/>
        </w:rPr>
      </w:pPr>
      <w:r w:rsidRPr="0062304F">
        <w:rPr>
          <w:rStyle w:val="TijelotekstaChar"/>
          <w:lang w:val="en-GB"/>
        </w:rPr>
        <w:t>A</w:t>
      </w:r>
      <w:r w:rsidRPr="0062304F">
        <w:rPr>
          <w:rStyle w:val="TijelotekstaChar"/>
          <w:lang w:val="en-GB"/>
        </w:rPr>
        <w:t>pplication for the recognition of qualifications / pursuing the profession on temporary and</w:t>
      </w:r>
      <w:r w:rsidRPr="0062304F">
        <w:rPr>
          <w:rStyle w:val="TijelotekstaChar"/>
          <w:lang w:val="en-GB"/>
        </w:rPr>
        <w:br/>
        <w:t>occasional basis</w:t>
      </w:r>
    </w:p>
    <w:p w14:paraId="75E2A609" w14:textId="1308921F" w:rsidR="00DE2FD3" w:rsidRDefault="00DE2FD3" w:rsidP="004001F6">
      <w:pPr>
        <w:pStyle w:val="Tijeloteksta"/>
        <w:spacing w:after="520"/>
        <w:rPr>
          <w:lang w:val="en-GB"/>
        </w:rPr>
      </w:pPr>
      <w:r w:rsidRPr="005D1E16">
        <w:rPr>
          <w:noProof/>
        </w:rPr>
        <w:drawing>
          <wp:inline distT="0" distB="0" distL="0" distR="0" wp14:anchorId="4ADA63A3" wp14:editId="4BC5E20E">
            <wp:extent cx="5803900" cy="4708525"/>
            <wp:effectExtent l="0" t="0" r="6350" b="0"/>
            <wp:docPr id="204494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43902" name=""/>
                    <pic:cNvPicPr/>
                  </pic:nvPicPr>
                  <pic:blipFill>
                    <a:blip r:embed="rId7"/>
                    <a:stretch>
                      <a:fillRect/>
                    </a:stretch>
                  </pic:blipFill>
                  <pic:spPr>
                    <a:xfrm>
                      <a:off x="0" y="0"/>
                      <a:ext cx="5803900" cy="4708525"/>
                    </a:xfrm>
                    <a:prstGeom prst="rect">
                      <a:avLst/>
                    </a:prstGeom>
                  </pic:spPr>
                </pic:pic>
              </a:graphicData>
            </a:graphic>
          </wp:inline>
        </w:drawing>
      </w:r>
    </w:p>
    <w:p w14:paraId="644B9140" w14:textId="42103697" w:rsidR="00DE2FD3" w:rsidRDefault="00DE2FD3" w:rsidP="004001F6">
      <w:pPr>
        <w:pStyle w:val="Tijeloteksta"/>
        <w:spacing w:after="520"/>
        <w:rPr>
          <w:lang w:val="en-GB"/>
        </w:rPr>
      </w:pPr>
      <w:r w:rsidRPr="005D1E16">
        <w:rPr>
          <w:noProof/>
        </w:rPr>
        <w:drawing>
          <wp:inline distT="0" distB="0" distL="0" distR="0" wp14:anchorId="030B1FBE" wp14:editId="5CCD6A2E">
            <wp:extent cx="4975860" cy="2141220"/>
            <wp:effectExtent l="0" t="0" r="0" b="0"/>
            <wp:docPr id="3892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97001" name=""/>
                    <pic:cNvPicPr/>
                  </pic:nvPicPr>
                  <pic:blipFill>
                    <a:blip r:embed="rId8"/>
                    <a:stretch>
                      <a:fillRect/>
                    </a:stretch>
                  </pic:blipFill>
                  <pic:spPr>
                    <a:xfrm>
                      <a:off x="0" y="0"/>
                      <a:ext cx="4975860" cy="2141220"/>
                    </a:xfrm>
                    <a:prstGeom prst="rect">
                      <a:avLst/>
                    </a:prstGeom>
                  </pic:spPr>
                </pic:pic>
              </a:graphicData>
            </a:graphic>
          </wp:inline>
        </w:drawing>
      </w:r>
    </w:p>
    <w:p w14:paraId="183867AF" w14:textId="46EE5581" w:rsidR="00DE2FD3" w:rsidRPr="0062304F" w:rsidRDefault="00DE2FD3" w:rsidP="004001F6">
      <w:pPr>
        <w:pStyle w:val="Tijeloteksta"/>
        <w:spacing w:after="520"/>
        <w:rPr>
          <w:lang w:val="en-GB"/>
        </w:rPr>
      </w:pPr>
      <w:r w:rsidRPr="005D1E16">
        <w:rPr>
          <w:noProof/>
        </w:rPr>
        <w:drawing>
          <wp:inline distT="0" distB="0" distL="0" distR="0" wp14:anchorId="405300CB" wp14:editId="0FE9F7BC">
            <wp:extent cx="5803900" cy="6614160"/>
            <wp:effectExtent l="0" t="0" r="6350" b="0"/>
            <wp:docPr id="124179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93667" name=""/>
                    <pic:cNvPicPr/>
                  </pic:nvPicPr>
                  <pic:blipFill>
                    <a:blip r:embed="rId9"/>
                    <a:stretch>
                      <a:fillRect/>
                    </a:stretch>
                  </pic:blipFill>
                  <pic:spPr>
                    <a:xfrm>
                      <a:off x="0" y="0"/>
                      <a:ext cx="5803900" cy="6614160"/>
                    </a:xfrm>
                    <a:prstGeom prst="rect">
                      <a:avLst/>
                    </a:prstGeom>
                  </pic:spPr>
                </pic:pic>
              </a:graphicData>
            </a:graphic>
          </wp:inline>
        </w:drawing>
      </w:r>
    </w:p>
    <w:sectPr w:rsidR="00DE2FD3" w:rsidRPr="0062304F" w:rsidSect="003B4751">
      <w:pgSz w:w="11906" w:h="16838"/>
      <w:pgMar w:top="1411" w:right="1386" w:bottom="1254" w:left="1380" w:header="983" w:footer="82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584B9" w14:textId="77777777" w:rsidR="001534B9" w:rsidRDefault="001534B9">
      <w:r>
        <w:separator/>
      </w:r>
    </w:p>
  </w:endnote>
  <w:endnote w:type="continuationSeparator" w:id="0">
    <w:p w14:paraId="2ECEC1DD" w14:textId="77777777" w:rsidR="001534B9" w:rsidRDefault="0015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B189" w14:textId="77777777" w:rsidR="001534B9" w:rsidRDefault="001534B9"/>
  </w:footnote>
  <w:footnote w:type="continuationSeparator" w:id="0">
    <w:p w14:paraId="04D7BF7B" w14:textId="77777777" w:rsidR="001534B9" w:rsidRDefault="001534B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CB1"/>
    <w:multiLevelType w:val="multilevel"/>
    <w:tmpl w:val="F4669924"/>
    <w:lvl w:ilvl="0">
      <w:start w:val="1"/>
      <w:numFmt w:val="upperRoman"/>
      <w:lvlText w:val="%1"/>
      <w:lvlJc w:val="left"/>
      <w:rPr>
        <w:rFonts w:ascii="Arial" w:eastAsia="Arial" w:hAnsi="Arial" w:cs="Arial"/>
        <w:b w:val="0"/>
        <w:bCs w:val="0"/>
        <w:i w:val="0"/>
        <w:iCs w:val="0"/>
        <w:smallCaps w:val="0"/>
        <w:strike w:val="0"/>
        <w:color w:val="484848"/>
        <w:spacing w:val="0"/>
        <w:w w:val="100"/>
        <w:position w:val="0"/>
        <w:sz w:val="36"/>
        <w:szCs w:val="36"/>
        <w:u w:val="none"/>
        <w:shd w:val="clear" w:color="auto" w:fill="auto"/>
        <w:vertAlign w:val="superscript"/>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2DF2"/>
    <w:multiLevelType w:val="multilevel"/>
    <w:tmpl w:val="BFCA5F0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86F86"/>
    <w:multiLevelType w:val="multilevel"/>
    <w:tmpl w:val="68668E0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01633"/>
    <w:multiLevelType w:val="multilevel"/>
    <w:tmpl w:val="93AA8A58"/>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66602"/>
    <w:multiLevelType w:val="multilevel"/>
    <w:tmpl w:val="3FB43E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B3A06"/>
    <w:multiLevelType w:val="multilevel"/>
    <w:tmpl w:val="65606DFE"/>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B478E"/>
    <w:multiLevelType w:val="multilevel"/>
    <w:tmpl w:val="D0001D8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67445C"/>
    <w:multiLevelType w:val="multilevel"/>
    <w:tmpl w:val="A5B48D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24EA4"/>
    <w:multiLevelType w:val="multilevel"/>
    <w:tmpl w:val="5AF602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92DBF"/>
    <w:multiLevelType w:val="multilevel"/>
    <w:tmpl w:val="4DC4C3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074F80"/>
    <w:multiLevelType w:val="multilevel"/>
    <w:tmpl w:val="5164D3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91946"/>
    <w:multiLevelType w:val="multilevel"/>
    <w:tmpl w:val="7564E09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DE12DD"/>
    <w:multiLevelType w:val="multilevel"/>
    <w:tmpl w:val="ACE20DD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53C0F"/>
    <w:multiLevelType w:val="multilevel"/>
    <w:tmpl w:val="82BE12E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BE514E"/>
    <w:multiLevelType w:val="multilevel"/>
    <w:tmpl w:val="B952026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6E7997"/>
    <w:multiLevelType w:val="multilevel"/>
    <w:tmpl w:val="E4AC25C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B6F7C"/>
    <w:multiLevelType w:val="multilevel"/>
    <w:tmpl w:val="7FF2E8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20568"/>
    <w:multiLevelType w:val="multilevel"/>
    <w:tmpl w:val="4A4EE4D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07356"/>
    <w:multiLevelType w:val="multilevel"/>
    <w:tmpl w:val="F0081BA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C857E9"/>
    <w:multiLevelType w:val="hybridMultilevel"/>
    <w:tmpl w:val="76CCF7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A18F3"/>
    <w:multiLevelType w:val="multilevel"/>
    <w:tmpl w:val="5CB4F4E8"/>
    <w:lvl w:ilvl="0">
      <w:start w:val="1"/>
      <w:numFmt w:val="upperRoman"/>
      <w:lvlText w:val="%1"/>
      <w:lvlJc w:val="left"/>
      <w:rPr>
        <w:rFonts w:hint="default"/>
        <w:b/>
        <w:bCs/>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7786F"/>
    <w:multiLevelType w:val="hybridMultilevel"/>
    <w:tmpl w:val="ECB0AF5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2F2340"/>
    <w:multiLevelType w:val="multilevel"/>
    <w:tmpl w:val="0234F8F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800875"/>
    <w:multiLevelType w:val="multilevel"/>
    <w:tmpl w:val="66F089E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150981"/>
    <w:multiLevelType w:val="multilevel"/>
    <w:tmpl w:val="79D8EE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15C3A"/>
    <w:multiLevelType w:val="multilevel"/>
    <w:tmpl w:val="C3C4D64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40541E"/>
    <w:multiLevelType w:val="multilevel"/>
    <w:tmpl w:val="9FDC41B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F1332D"/>
    <w:multiLevelType w:val="multilevel"/>
    <w:tmpl w:val="E0FA93B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B62246"/>
    <w:multiLevelType w:val="multilevel"/>
    <w:tmpl w:val="3D9CE5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6005A6"/>
    <w:multiLevelType w:val="multilevel"/>
    <w:tmpl w:val="BAC23B0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5679C3"/>
    <w:multiLevelType w:val="hybridMultilevel"/>
    <w:tmpl w:val="F7B2E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FF6FB6"/>
    <w:multiLevelType w:val="hybridMultilevel"/>
    <w:tmpl w:val="F28C69CC"/>
    <w:lvl w:ilvl="0" w:tplc="08090003">
      <w:start w:val="1"/>
      <w:numFmt w:val="bullet"/>
      <w:lvlText w:val="o"/>
      <w:lvlJc w:val="left"/>
      <w:pPr>
        <w:ind w:left="2900" w:hanging="360"/>
      </w:pPr>
      <w:rPr>
        <w:rFonts w:ascii="Courier New" w:hAnsi="Courier New" w:cs="Courier New" w:hint="default"/>
      </w:rPr>
    </w:lvl>
    <w:lvl w:ilvl="1" w:tplc="08090003" w:tentative="1">
      <w:start w:val="1"/>
      <w:numFmt w:val="bullet"/>
      <w:lvlText w:val="o"/>
      <w:lvlJc w:val="left"/>
      <w:pPr>
        <w:ind w:left="3620" w:hanging="360"/>
      </w:pPr>
      <w:rPr>
        <w:rFonts w:ascii="Courier New" w:hAnsi="Courier New" w:cs="Courier New" w:hint="default"/>
      </w:rPr>
    </w:lvl>
    <w:lvl w:ilvl="2" w:tplc="08090005" w:tentative="1">
      <w:start w:val="1"/>
      <w:numFmt w:val="bullet"/>
      <w:lvlText w:val=""/>
      <w:lvlJc w:val="left"/>
      <w:pPr>
        <w:ind w:left="4340" w:hanging="360"/>
      </w:pPr>
      <w:rPr>
        <w:rFonts w:ascii="Wingdings" w:hAnsi="Wingdings" w:hint="default"/>
      </w:rPr>
    </w:lvl>
    <w:lvl w:ilvl="3" w:tplc="08090001" w:tentative="1">
      <w:start w:val="1"/>
      <w:numFmt w:val="bullet"/>
      <w:lvlText w:val=""/>
      <w:lvlJc w:val="left"/>
      <w:pPr>
        <w:ind w:left="5060" w:hanging="360"/>
      </w:pPr>
      <w:rPr>
        <w:rFonts w:ascii="Symbol" w:hAnsi="Symbol" w:hint="default"/>
      </w:rPr>
    </w:lvl>
    <w:lvl w:ilvl="4" w:tplc="08090003" w:tentative="1">
      <w:start w:val="1"/>
      <w:numFmt w:val="bullet"/>
      <w:lvlText w:val="o"/>
      <w:lvlJc w:val="left"/>
      <w:pPr>
        <w:ind w:left="5780" w:hanging="360"/>
      </w:pPr>
      <w:rPr>
        <w:rFonts w:ascii="Courier New" w:hAnsi="Courier New" w:cs="Courier New" w:hint="default"/>
      </w:rPr>
    </w:lvl>
    <w:lvl w:ilvl="5" w:tplc="08090005" w:tentative="1">
      <w:start w:val="1"/>
      <w:numFmt w:val="bullet"/>
      <w:lvlText w:val=""/>
      <w:lvlJc w:val="left"/>
      <w:pPr>
        <w:ind w:left="6500" w:hanging="360"/>
      </w:pPr>
      <w:rPr>
        <w:rFonts w:ascii="Wingdings" w:hAnsi="Wingdings" w:hint="default"/>
      </w:rPr>
    </w:lvl>
    <w:lvl w:ilvl="6" w:tplc="08090001" w:tentative="1">
      <w:start w:val="1"/>
      <w:numFmt w:val="bullet"/>
      <w:lvlText w:val=""/>
      <w:lvlJc w:val="left"/>
      <w:pPr>
        <w:ind w:left="7220" w:hanging="360"/>
      </w:pPr>
      <w:rPr>
        <w:rFonts w:ascii="Symbol" w:hAnsi="Symbol" w:hint="default"/>
      </w:rPr>
    </w:lvl>
    <w:lvl w:ilvl="7" w:tplc="08090003" w:tentative="1">
      <w:start w:val="1"/>
      <w:numFmt w:val="bullet"/>
      <w:lvlText w:val="o"/>
      <w:lvlJc w:val="left"/>
      <w:pPr>
        <w:ind w:left="7940" w:hanging="360"/>
      </w:pPr>
      <w:rPr>
        <w:rFonts w:ascii="Courier New" w:hAnsi="Courier New" w:cs="Courier New" w:hint="default"/>
      </w:rPr>
    </w:lvl>
    <w:lvl w:ilvl="8" w:tplc="08090005" w:tentative="1">
      <w:start w:val="1"/>
      <w:numFmt w:val="bullet"/>
      <w:lvlText w:val=""/>
      <w:lvlJc w:val="left"/>
      <w:pPr>
        <w:ind w:left="8660" w:hanging="360"/>
      </w:pPr>
      <w:rPr>
        <w:rFonts w:ascii="Wingdings" w:hAnsi="Wingdings" w:hint="default"/>
      </w:rPr>
    </w:lvl>
  </w:abstractNum>
  <w:abstractNum w:abstractNumId="32" w15:restartNumberingAfterBreak="0">
    <w:nsid w:val="4C0347F6"/>
    <w:multiLevelType w:val="multilevel"/>
    <w:tmpl w:val="EFB6CC4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60B1"/>
    <w:multiLevelType w:val="multilevel"/>
    <w:tmpl w:val="838AD3CE"/>
    <w:lvl w:ilvl="0">
      <w:start w:val="4"/>
      <w:numFmt w:val="decimal"/>
      <w:lvlText w:val="%1"/>
      <w:lvlJc w:val="left"/>
      <w:rPr>
        <w:rFonts w:ascii="Arial" w:eastAsia="Arial" w:hAnsi="Arial" w:cs="Arial"/>
        <w:b w:val="0"/>
        <w:bCs w:val="0"/>
        <w:i w:val="0"/>
        <w:iCs w:val="0"/>
        <w:smallCaps w:val="0"/>
        <w:strike w:val="0"/>
        <w:color w:val="333333"/>
        <w:spacing w:val="0"/>
        <w:w w:val="100"/>
        <w:position w:val="0"/>
        <w:sz w:val="14"/>
        <w:szCs w:val="14"/>
        <w:u w:val="none"/>
        <w:shd w:val="clear" w:color="auto" w:fill="auto"/>
        <w:lang w:val="hr-HR" w:eastAsia="hr-HR"/>
      </w:rPr>
    </w:lvl>
    <w:lvl w:ilvl="1">
      <w:start w:val="1"/>
      <w:numFmt w:val="decimal"/>
      <w:lvlText w:val="%1.%2"/>
      <w:lvlJc w:val="left"/>
      <w:rPr>
        <w:rFonts w:ascii="Times New Roman" w:eastAsia="Times New Roman" w:hAnsi="Times New Roman" w:cs="Times New Roman"/>
        <w:b w:val="0"/>
        <w:bCs w:val="0"/>
        <w:i w:val="0"/>
        <w:iCs w:val="0"/>
        <w:smallCaps w:val="0"/>
        <w:strike w:val="0"/>
        <w:color w:val="484848"/>
        <w:spacing w:val="0"/>
        <w:w w:val="100"/>
        <w:position w:val="0"/>
        <w:sz w:val="13"/>
        <w:szCs w:val="13"/>
        <w:u w:val="none"/>
        <w:shd w:val="clear" w:color="auto" w:fill="auto"/>
        <w:lang w:val="hr-HR" w:eastAsia="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BD0EA3"/>
    <w:multiLevelType w:val="multilevel"/>
    <w:tmpl w:val="6150C6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D4303B"/>
    <w:multiLevelType w:val="multilevel"/>
    <w:tmpl w:val="092656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5A3A82"/>
    <w:multiLevelType w:val="multilevel"/>
    <w:tmpl w:val="8D104AF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937D0A"/>
    <w:multiLevelType w:val="multilevel"/>
    <w:tmpl w:val="5ACC95C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031FC5"/>
    <w:multiLevelType w:val="multilevel"/>
    <w:tmpl w:val="0DBC66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7C2079"/>
    <w:multiLevelType w:val="multilevel"/>
    <w:tmpl w:val="D4BCE30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3938D3"/>
    <w:multiLevelType w:val="multilevel"/>
    <w:tmpl w:val="5594A8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E371FE"/>
    <w:multiLevelType w:val="multilevel"/>
    <w:tmpl w:val="DF22D50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CA1C78"/>
    <w:multiLevelType w:val="multilevel"/>
    <w:tmpl w:val="AD60B31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891ADA"/>
    <w:multiLevelType w:val="multilevel"/>
    <w:tmpl w:val="A720F4E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4B4365"/>
    <w:multiLevelType w:val="multilevel"/>
    <w:tmpl w:val="9B2AFFC2"/>
    <w:lvl w:ilvl="0">
      <w:start w:val="7"/>
      <w:numFmt w:val="upperRoman"/>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7F7D8F"/>
    <w:multiLevelType w:val="multilevel"/>
    <w:tmpl w:val="5A96C0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BE3D91"/>
    <w:multiLevelType w:val="multilevel"/>
    <w:tmpl w:val="24E824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A97320"/>
    <w:multiLevelType w:val="multilevel"/>
    <w:tmpl w:val="CE562F1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3"/>
  </w:num>
  <w:num w:numId="3">
    <w:abstractNumId w:val="36"/>
  </w:num>
  <w:num w:numId="4">
    <w:abstractNumId w:val="29"/>
  </w:num>
  <w:num w:numId="5">
    <w:abstractNumId w:val="45"/>
  </w:num>
  <w:num w:numId="6">
    <w:abstractNumId w:val="26"/>
  </w:num>
  <w:num w:numId="7">
    <w:abstractNumId w:val="24"/>
  </w:num>
  <w:num w:numId="8">
    <w:abstractNumId w:val="10"/>
  </w:num>
  <w:num w:numId="9">
    <w:abstractNumId w:val="43"/>
  </w:num>
  <w:num w:numId="10">
    <w:abstractNumId w:val="47"/>
  </w:num>
  <w:num w:numId="11">
    <w:abstractNumId w:val="37"/>
  </w:num>
  <w:num w:numId="12">
    <w:abstractNumId w:val="16"/>
  </w:num>
  <w:num w:numId="13">
    <w:abstractNumId w:val="39"/>
  </w:num>
  <w:num w:numId="14">
    <w:abstractNumId w:val="14"/>
  </w:num>
  <w:num w:numId="15">
    <w:abstractNumId w:val="4"/>
  </w:num>
  <w:num w:numId="16">
    <w:abstractNumId w:val="22"/>
  </w:num>
  <w:num w:numId="17">
    <w:abstractNumId w:val="34"/>
  </w:num>
  <w:num w:numId="18">
    <w:abstractNumId w:val="42"/>
  </w:num>
  <w:num w:numId="19">
    <w:abstractNumId w:val="11"/>
  </w:num>
  <w:num w:numId="20">
    <w:abstractNumId w:val="35"/>
  </w:num>
  <w:num w:numId="21">
    <w:abstractNumId w:val="28"/>
  </w:num>
  <w:num w:numId="22">
    <w:abstractNumId w:val="6"/>
  </w:num>
  <w:num w:numId="23">
    <w:abstractNumId w:val="1"/>
  </w:num>
  <w:num w:numId="24">
    <w:abstractNumId w:val="15"/>
  </w:num>
  <w:num w:numId="25">
    <w:abstractNumId w:val="12"/>
  </w:num>
  <w:num w:numId="26">
    <w:abstractNumId w:val="38"/>
  </w:num>
  <w:num w:numId="27">
    <w:abstractNumId w:val="27"/>
  </w:num>
  <w:num w:numId="28">
    <w:abstractNumId w:val="7"/>
  </w:num>
  <w:num w:numId="29">
    <w:abstractNumId w:val="18"/>
  </w:num>
  <w:num w:numId="30">
    <w:abstractNumId w:val="9"/>
  </w:num>
  <w:num w:numId="31">
    <w:abstractNumId w:val="17"/>
  </w:num>
  <w:num w:numId="32">
    <w:abstractNumId w:val="3"/>
  </w:num>
  <w:num w:numId="33">
    <w:abstractNumId w:val="32"/>
  </w:num>
  <w:num w:numId="34">
    <w:abstractNumId w:val="25"/>
  </w:num>
  <w:num w:numId="35">
    <w:abstractNumId w:val="2"/>
  </w:num>
  <w:num w:numId="36">
    <w:abstractNumId w:val="8"/>
  </w:num>
  <w:num w:numId="37">
    <w:abstractNumId w:val="46"/>
  </w:num>
  <w:num w:numId="38">
    <w:abstractNumId w:val="5"/>
  </w:num>
  <w:num w:numId="39">
    <w:abstractNumId w:val="41"/>
  </w:num>
  <w:num w:numId="40">
    <w:abstractNumId w:val="44"/>
  </w:num>
  <w:num w:numId="41">
    <w:abstractNumId w:val="40"/>
  </w:num>
  <w:num w:numId="42">
    <w:abstractNumId w:val="13"/>
  </w:num>
  <w:num w:numId="43">
    <w:abstractNumId w:val="0"/>
  </w:num>
  <w:num w:numId="44">
    <w:abstractNumId w:val="33"/>
  </w:num>
  <w:num w:numId="45">
    <w:abstractNumId w:val="31"/>
  </w:num>
  <w:num w:numId="46">
    <w:abstractNumId w:val="19"/>
  </w:num>
  <w:num w:numId="47">
    <w:abstractNumId w:val="2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69"/>
    <w:rsid w:val="00032CD9"/>
    <w:rsid w:val="00047198"/>
    <w:rsid w:val="00052469"/>
    <w:rsid w:val="000A60F2"/>
    <w:rsid w:val="000C0543"/>
    <w:rsid w:val="000C5F40"/>
    <w:rsid w:val="000E7E62"/>
    <w:rsid w:val="000F6A7D"/>
    <w:rsid w:val="00126755"/>
    <w:rsid w:val="001534B9"/>
    <w:rsid w:val="001D6F9E"/>
    <w:rsid w:val="00254200"/>
    <w:rsid w:val="002F2150"/>
    <w:rsid w:val="003B4751"/>
    <w:rsid w:val="003D2320"/>
    <w:rsid w:val="004001F6"/>
    <w:rsid w:val="0042331D"/>
    <w:rsid w:val="00425F1B"/>
    <w:rsid w:val="00455DD1"/>
    <w:rsid w:val="004836F9"/>
    <w:rsid w:val="004B4385"/>
    <w:rsid w:val="004E1363"/>
    <w:rsid w:val="005D4EEF"/>
    <w:rsid w:val="00613F9F"/>
    <w:rsid w:val="0062304F"/>
    <w:rsid w:val="00646E42"/>
    <w:rsid w:val="00680281"/>
    <w:rsid w:val="00684249"/>
    <w:rsid w:val="006F3F3B"/>
    <w:rsid w:val="00760882"/>
    <w:rsid w:val="00803454"/>
    <w:rsid w:val="00842DD6"/>
    <w:rsid w:val="00891B7E"/>
    <w:rsid w:val="00892617"/>
    <w:rsid w:val="00895542"/>
    <w:rsid w:val="008F287A"/>
    <w:rsid w:val="008F732C"/>
    <w:rsid w:val="009226B9"/>
    <w:rsid w:val="00A513F9"/>
    <w:rsid w:val="00A6125A"/>
    <w:rsid w:val="00AC52E4"/>
    <w:rsid w:val="00AD0BC5"/>
    <w:rsid w:val="00AD0F67"/>
    <w:rsid w:val="00AE3FEC"/>
    <w:rsid w:val="00B203CA"/>
    <w:rsid w:val="00B4209E"/>
    <w:rsid w:val="00B718F8"/>
    <w:rsid w:val="00BE22B0"/>
    <w:rsid w:val="00C35654"/>
    <w:rsid w:val="00C509B6"/>
    <w:rsid w:val="00C67A91"/>
    <w:rsid w:val="00C84455"/>
    <w:rsid w:val="00C86321"/>
    <w:rsid w:val="00CC701A"/>
    <w:rsid w:val="00D67FE1"/>
    <w:rsid w:val="00DE2FD3"/>
    <w:rsid w:val="00E11E61"/>
    <w:rsid w:val="00E37F4F"/>
    <w:rsid w:val="00E634A2"/>
    <w:rsid w:val="00E77AE2"/>
    <w:rsid w:val="00E8007F"/>
    <w:rsid w:val="00F31A42"/>
    <w:rsid w:val="00FB6F81"/>
    <w:rsid w:val="00FC5C1E"/>
    <w:rsid w:val="00FE3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A7B7"/>
  <w15:docId w15:val="{EE972FBD-4CA7-491F-A6D3-605E9C99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Palatino Linotype" w:eastAsia="Palatino Linotype" w:hAnsi="Palatino Linotype" w:cs="Palatino Linotype"/>
      <w:b w:val="0"/>
      <w:bCs w:val="0"/>
      <w:i w:val="0"/>
      <w:iCs w:val="0"/>
      <w:smallCaps w:val="0"/>
      <w:strike w:val="0"/>
      <w:sz w:val="22"/>
      <w:szCs w:val="22"/>
      <w:u w:val="none"/>
    </w:rPr>
  </w:style>
  <w:style w:type="character" w:customStyle="1" w:styleId="Heading2">
    <w:name w:val="Heading #2_"/>
    <w:basedOn w:val="Zadanifontodlomka"/>
    <w:link w:val="Heading20"/>
    <w:rPr>
      <w:rFonts w:ascii="Palatino Linotype" w:eastAsia="Palatino Linotype" w:hAnsi="Palatino Linotype" w:cs="Palatino Linotype"/>
      <w:b/>
      <w:bCs/>
      <w:i w:val="0"/>
      <w:iCs w:val="0"/>
      <w:smallCaps w:val="0"/>
      <w:strike w:val="0"/>
      <w:sz w:val="22"/>
      <w:szCs w:val="22"/>
      <w:u w:val="none"/>
    </w:rPr>
  </w:style>
  <w:style w:type="character" w:customStyle="1" w:styleId="Bodytext3">
    <w:name w:val="Body text (3)_"/>
    <w:basedOn w:val="Zadanifontodlomka"/>
    <w:link w:val="Bodytext30"/>
    <w:rPr>
      <w:rFonts w:ascii="Arial" w:eastAsia="Arial" w:hAnsi="Arial" w:cs="Arial"/>
      <w:b w:val="0"/>
      <w:bCs w:val="0"/>
      <w:i w:val="0"/>
      <w:iCs w:val="0"/>
      <w:smallCaps w:val="0"/>
      <w:strike w:val="0"/>
      <w:color w:val="333333"/>
      <w:sz w:val="14"/>
      <w:szCs w:val="14"/>
      <w:u w:val="none"/>
    </w:rPr>
  </w:style>
  <w:style w:type="character" w:customStyle="1" w:styleId="Heading1">
    <w:name w:val="Heading #1_"/>
    <w:basedOn w:val="Zadanifontodlomka"/>
    <w:link w:val="Heading10"/>
    <w:rPr>
      <w:rFonts w:ascii="Arial" w:eastAsia="Arial" w:hAnsi="Arial" w:cs="Arial"/>
      <w:b w:val="0"/>
      <w:bCs w:val="0"/>
      <w:i w:val="0"/>
      <w:iCs w:val="0"/>
      <w:smallCaps w:val="0"/>
      <w:strike w:val="0"/>
      <w:color w:val="333333"/>
      <w:sz w:val="36"/>
      <w:szCs w:val="36"/>
      <w:u w:val="none"/>
    </w:rPr>
  </w:style>
  <w:style w:type="character" w:customStyle="1" w:styleId="Bodytext2">
    <w:name w:val="Body text (2)_"/>
    <w:basedOn w:val="Zadanifontodlomka"/>
    <w:link w:val="Bodytext20"/>
    <w:rPr>
      <w:rFonts w:ascii="Times New Roman" w:eastAsia="Times New Roman" w:hAnsi="Times New Roman" w:cs="Times New Roman"/>
      <w:b w:val="0"/>
      <w:bCs w:val="0"/>
      <w:i w:val="0"/>
      <w:iCs w:val="0"/>
      <w:smallCaps w:val="0"/>
      <w:strike w:val="0"/>
      <w:color w:val="333333"/>
      <w:sz w:val="13"/>
      <w:szCs w:val="13"/>
      <w:u w:val="none"/>
    </w:rPr>
  </w:style>
  <w:style w:type="character" w:customStyle="1" w:styleId="Bodytext4">
    <w:name w:val="Body text (4)_"/>
    <w:basedOn w:val="Zadanifontodlomka"/>
    <w:link w:val="Bodytext40"/>
    <w:rPr>
      <w:rFonts w:ascii="Arial" w:eastAsia="Arial" w:hAnsi="Arial" w:cs="Arial"/>
      <w:b w:val="0"/>
      <w:bCs w:val="0"/>
      <w:i w:val="0"/>
      <w:iCs w:val="0"/>
      <w:smallCaps w:val="0"/>
      <w:strike w:val="0"/>
      <w:color w:val="333333"/>
      <w:sz w:val="22"/>
      <w:szCs w:val="22"/>
      <w:u w:val="none"/>
    </w:rPr>
  </w:style>
  <w:style w:type="character" w:customStyle="1" w:styleId="Tablecaption">
    <w:name w:val="Table caption_"/>
    <w:basedOn w:val="Zadanifontodlomka"/>
    <w:link w:val="Tablecaption0"/>
    <w:rPr>
      <w:rFonts w:ascii="Times New Roman" w:eastAsia="Times New Roman" w:hAnsi="Times New Roman" w:cs="Times New Roman"/>
      <w:b w:val="0"/>
      <w:bCs w:val="0"/>
      <w:i w:val="0"/>
      <w:iCs w:val="0"/>
      <w:smallCaps w:val="0"/>
      <w:strike w:val="0"/>
      <w:color w:val="333333"/>
      <w:sz w:val="13"/>
      <w:szCs w:val="13"/>
      <w:u w:val="none"/>
    </w:rPr>
  </w:style>
  <w:style w:type="character" w:customStyle="1" w:styleId="Other">
    <w:name w:val="Other_"/>
    <w:basedOn w:val="Zadanifontodlomka"/>
    <w:link w:val="Other0"/>
    <w:rPr>
      <w:rFonts w:ascii="Palatino Linotype" w:eastAsia="Palatino Linotype" w:hAnsi="Palatino Linotype" w:cs="Palatino Linotype"/>
      <w:b w:val="0"/>
      <w:bCs w:val="0"/>
      <w:i w:val="0"/>
      <w:iCs w:val="0"/>
      <w:smallCaps w:val="0"/>
      <w:strike w:val="0"/>
      <w:sz w:val="22"/>
      <w:szCs w:val="22"/>
      <w:u w:val="none"/>
    </w:rPr>
  </w:style>
  <w:style w:type="paragraph" w:styleId="Tijeloteksta">
    <w:name w:val="Body Text"/>
    <w:basedOn w:val="Normal"/>
    <w:link w:val="TijelotekstaChar"/>
    <w:qFormat/>
    <w:pPr>
      <w:spacing w:after="280"/>
    </w:pPr>
    <w:rPr>
      <w:rFonts w:ascii="Palatino Linotype" w:eastAsia="Palatino Linotype" w:hAnsi="Palatino Linotype" w:cs="Palatino Linotype"/>
      <w:sz w:val="22"/>
      <w:szCs w:val="22"/>
    </w:rPr>
  </w:style>
  <w:style w:type="paragraph" w:customStyle="1" w:styleId="Heading20">
    <w:name w:val="Heading #2"/>
    <w:basedOn w:val="Normal"/>
    <w:link w:val="Heading2"/>
    <w:pPr>
      <w:spacing w:after="300"/>
      <w:jc w:val="center"/>
      <w:outlineLvl w:val="1"/>
    </w:pPr>
    <w:rPr>
      <w:rFonts w:ascii="Palatino Linotype" w:eastAsia="Palatino Linotype" w:hAnsi="Palatino Linotype" w:cs="Palatino Linotype"/>
      <w:b/>
      <w:bCs/>
      <w:sz w:val="22"/>
      <w:szCs w:val="22"/>
    </w:rPr>
  </w:style>
  <w:style w:type="paragraph" w:customStyle="1" w:styleId="Bodytext30">
    <w:name w:val="Body text (3)"/>
    <w:basedOn w:val="Normal"/>
    <w:link w:val="Bodytext3"/>
    <w:pPr>
      <w:spacing w:after="180"/>
      <w:ind w:firstLine="140"/>
    </w:pPr>
    <w:rPr>
      <w:rFonts w:ascii="Arial" w:eastAsia="Arial" w:hAnsi="Arial" w:cs="Arial"/>
      <w:color w:val="333333"/>
      <w:sz w:val="14"/>
      <w:szCs w:val="14"/>
    </w:rPr>
  </w:style>
  <w:style w:type="paragraph" w:customStyle="1" w:styleId="Heading10">
    <w:name w:val="Heading #1"/>
    <w:basedOn w:val="Normal"/>
    <w:link w:val="Heading1"/>
    <w:pPr>
      <w:ind w:firstLine="160"/>
      <w:outlineLvl w:val="0"/>
    </w:pPr>
    <w:rPr>
      <w:rFonts w:ascii="Arial" w:eastAsia="Arial" w:hAnsi="Arial" w:cs="Arial"/>
      <w:color w:val="333333"/>
      <w:sz w:val="36"/>
      <w:szCs w:val="36"/>
    </w:rPr>
  </w:style>
  <w:style w:type="paragraph" w:customStyle="1" w:styleId="Bodytext20">
    <w:name w:val="Body text (2)"/>
    <w:basedOn w:val="Normal"/>
    <w:link w:val="Bodytext2"/>
    <w:pPr>
      <w:ind w:firstLine="560"/>
    </w:pPr>
    <w:rPr>
      <w:rFonts w:ascii="Times New Roman" w:eastAsia="Times New Roman" w:hAnsi="Times New Roman" w:cs="Times New Roman"/>
      <w:color w:val="333333"/>
      <w:sz w:val="13"/>
      <w:szCs w:val="13"/>
    </w:rPr>
  </w:style>
  <w:style w:type="paragraph" w:customStyle="1" w:styleId="Bodytext40">
    <w:name w:val="Body text (4)"/>
    <w:basedOn w:val="Normal"/>
    <w:link w:val="Bodytext4"/>
    <w:pPr>
      <w:ind w:left="1320"/>
    </w:pPr>
    <w:rPr>
      <w:rFonts w:ascii="Arial" w:eastAsia="Arial" w:hAnsi="Arial" w:cs="Arial"/>
      <w:color w:val="333333"/>
      <w:sz w:val="22"/>
      <w:szCs w:val="22"/>
    </w:rPr>
  </w:style>
  <w:style w:type="paragraph" w:customStyle="1" w:styleId="Tablecaption0">
    <w:name w:val="Table caption"/>
    <w:basedOn w:val="Normal"/>
    <w:link w:val="Tablecaption"/>
    <w:rPr>
      <w:rFonts w:ascii="Times New Roman" w:eastAsia="Times New Roman" w:hAnsi="Times New Roman" w:cs="Times New Roman"/>
      <w:color w:val="333333"/>
      <w:sz w:val="13"/>
      <w:szCs w:val="13"/>
    </w:rPr>
  </w:style>
  <w:style w:type="paragraph" w:customStyle="1" w:styleId="Other0">
    <w:name w:val="Other"/>
    <w:basedOn w:val="Normal"/>
    <w:link w:val="Other"/>
    <w:pPr>
      <w:spacing w:after="280"/>
    </w:pPr>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5676</Words>
  <Characters>32357</Characters>
  <Application>Microsoft Office Word</Application>
  <DocSecurity>4</DocSecurity>
  <Lines>269</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Zarka Rogic</dc:creator>
  <cp:keywords/>
  <cp:lastModifiedBy>Tajana Pilko Koštan</cp:lastModifiedBy>
  <cp:revision>2</cp:revision>
  <dcterms:created xsi:type="dcterms:W3CDTF">2025-10-27T12:35:00Z</dcterms:created>
  <dcterms:modified xsi:type="dcterms:W3CDTF">2025-10-27T12:35:00Z</dcterms:modified>
</cp:coreProperties>
</file>