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E61B7" w14:textId="2A95DAA0" w:rsidR="00052469" w:rsidRDefault="00B47B10" w:rsidP="005F30A2">
      <w:pPr>
        <w:pStyle w:val="Tijeloteksta"/>
        <w:spacing w:after="0"/>
        <w:jc w:val="both"/>
        <w:rPr>
          <w:rStyle w:val="TijelotekstaChar"/>
        </w:rPr>
      </w:pPr>
      <w:bookmarkStart w:id="0" w:name="_GoBack"/>
      <w:bookmarkEnd w:id="0"/>
      <w:r w:rsidRPr="005F30A2">
        <w:rPr>
          <w:rStyle w:val="TijelotekstaChar"/>
        </w:rPr>
        <w:t xml:space="preserve">De acuerdo al artículo 16, apartado 3 y artículo 84, apartado 5 de la Ley de profesiones reguladas y de reconocimiento de cualificaciones profesionales extranjeras («Boletín oficial» No. 82/15., 70/19.), al artículo 177 </w:t>
      </w:r>
      <w:r w:rsidR="005F30A2" w:rsidRPr="005F30A2">
        <w:rPr>
          <w:rStyle w:val="TijelotekstaChar"/>
        </w:rPr>
        <w:t>de la Ley de</w:t>
      </w:r>
      <w:r w:rsidRPr="005F30A2">
        <w:rPr>
          <w:rStyle w:val="TijelotekstaChar"/>
        </w:rPr>
        <w:t xml:space="preserve"> atención médica («Boletín oficial», » No. 100/18), y al artículo 16, inciso 7 del Estatuto del  Colegio profesional de médicos («Boletín oficial» No. 55/18), el Consejo del Colegio profesional de médicos, en la 2a sesión celebrada el 14 de diciembre de 2019, toma el:</w:t>
      </w:r>
    </w:p>
    <w:p w14:paraId="53349C00" w14:textId="77777777" w:rsidR="005F30A2" w:rsidRPr="005F30A2" w:rsidRDefault="005F30A2" w:rsidP="005F30A2">
      <w:pPr>
        <w:pStyle w:val="Tijeloteksta"/>
        <w:spacing w:after="0"/>
        <w:jc w:val="both"/>
      </w:pPr>
    </w:p>
    <w:p w14:paraId="7CD79ED1" w14:textId="77777777" w:rsidR="00052469" w:rsidRPr="005F30A2" w:rsidRDefault="00B47B10" w:rsidP="005F30A2">
      <w:pPr>
        <w:pStyle w:val="Heading20"/>
        <w:keepNext/>
        <w:keepLines/>
        <w:spacing w:after="0"/>
      </w:pPr>
      <w:bookmarkStart w:id="1" w:name="bookmark0"/>
      <w:r w:rsidRPr="005F30A2">
        <w:rPr>
          <w:rStyle w:val="Heading2"/>
          <w:b/>
        </w:rPr>
        <w:t xml:space="preserve">REGLAMENTO DEL PROCEDIMIENTO DE RECONOCIMIENTO DE CUALIFICACIONES PROFESIONALES EXTRANJERAS </w:t>
      </w:r>
      <w:bookmarkEnd w:id="1"/>
    </w:p>
    <w:p w14:paraId="76F4A2FF" w14:textId="77777777" w:rsidR="00052469" w:rsidRPr="005F30A2" w:rsidRDefault="00B47B10">
      <w:pPr>
        <w:pStyle w:val="Heading20"/>
        <w:keepNext/>
        <w:keepLines/>
        <w:numPr>
          <w:ilvl w:val="0"/>
          <w:numId w:val="1"/>
        </w:numPr>
        <w:tabs>
          <w:tab w:val="left" w:pos="309"/>
        </w:tabs>
        <w:spacing w:after="280"/>
      </w:pPr>
      <w:bookmarkStart w:id="2" w:name="bookmark2"/>
      <w:r w:rsidRPr="005F30A2">
        <w:rPr>
          <w:rStyle w:val="Heading2"/>
          <w:b/>
        </w:rPr>
        <w:t>DISPOSICIONES GENERALES</w:t>
      </w:r>
      <w:bookmarkEnd w:id="2"/>
    </w:p>
    <w:p w14:paraId="221E0035" w14:textId="77777777" w:rsidR="00052469" w:rsidRPr="005F30A2" w:rsidRDefault="00B47B10">
      <w:pPr>
        <w:pStyle w:val="Tijeloteksta"/>
        <w:jc w:val="center"/>
      </w:pPr>
      <w:r w:rsidRPr="005F30A2">
        <w:rPr>
          <w:rStyle w:val="TijelotekstaChar"/>
        </w:rPr>
        <w:t>Artículo 1</w:t>
      </w:r>
    </w:p>
    <w:p w14:paraId="73FAB68F" w14:textId="77777777" w:rsidR="00052469" w:rsidRPr="005F30A2" w:rsidRDefault="00B47B10">
      <w:pPr>
        <w:pStyle w:val="Tijeloteksta"/>
        <w:numPr>
          <w:ilvl w:val="0"/>
          <w:numId w:val="2"/>
        </w:numPr>
        <w:tabs>
          <w:tab w:val="left" w:pos="391"/>
        </w:tabs>
        <w:jc w:val="both"/>
      </w:pPr>
      <w:r w:rsidRPr="005F30A2">
        <w:rPr>
          <w:rStyle w:val="TijelotekstaChar"/>
        </w:rPr>
        <w:t>Este Reglamento rige el procedimiento de reconocimiento de cualificaciones profesionales extranjeras realizado por el Colegio profesional de médicos (en adelante: CPM), a efectos del ejercicio del derecho de ejercicio de la profesión regulada del médico, es decir del médico especialista en el territorio de la República de Croacia (en adelante: RC) y el procedimiento de autorización y de registro de prestación de servicios de forma temporal u ocasional sobre la base de cualificaciones profesionales extranjeras.</w:t>
      </w:r>
    </w:p>
    <w:p w14:paraId="743A8CD3" w14:textId="77777777" w:rsidR="00052469" w:rsidRPr="005F30A2" w:rsidRDefault="00B47B10">
      <w:pPr>
        <w:pStyle w:val="Tijeloteksta"/>
        <w:numPr>
          <w:ilvl w:val="0"/>
          <w:numId w:val="2"/>
        </w:numPr>
        <w:tabs>
          <w:tab w:val="left" w:pos="391"/>
        </w:tabs>
        <w:jc w:val="both"/>
      </w:pPr>
      <w:r w:rsidRPr="005F30A2">
        <w:rPr>
          <w:rStyle w:val="TijelotekstaChar"/>
        </w:rPr>
        <w:t>Los términos empleados en este Reglamento, que tienen un significado de género, abarcan lo femenino junto con lo masculino.</w:t>
      </w:r>
    </w:p>
    <w:p w14:paraId="053964AE" w14:textId="77777777" w:rsidR="00052469" w:rsidRPr="005F30A2" w:rsidRDefault="00B47B10">
      <w:pPr>
        <w:pStyle w:val="Tijeloteksta"/>
        <w:jc w:val="center"/>
      </w:pPr>
      <w:r w:rsidRPr="005F30A2">
        <w:rPr>
          <w:rStyle w:val="TijelotekstaChar"/>
        </w:rPr>
        <w:t>Artículo 2</w:t>
      </w:r>
    </w:p>
    <w:p w14:paraId="05D81B97" w14:textId="77777777" w:rsidR="00052469" w:rsidRPr="005F30A2" w:rsidRDefault="00B47B10">
      <w:pPr>
        <w:pStyle w:val="Tijeloteksta"/>
        <w:jc w:val="both"/>
      </w:pPr>
      <w:r w:rsidRPr="005F30A2">
        <w:rPr>
          <w:rStyle w:val="TijelotekstaChar"/>
        </w:rPr>
        <w:t>El reconocimiento de cualificaciones profesionales extranjeras se hace según un régimen de reconocimiento general y automático, de acuerdo a las disposiciones de la Ley de profesiones reguladas y de reconocimiento de cualificaciones profesionales extranjeras, aplicando las disposiciones de la Ley del procedimiento administrativo general.</w:t>
      </w:r>
    </w:p>
    <w:p w14:paraId="4EA7220F" w14:textId="77777777" w:rsidR="00052469" w:rsidRPr="005F30A2" w:rsidRDefault="00B47B10">
      <w:pPr>
        <w:pStyle w:val="Tijeloteksta"/>
        <w:jc w:val="center"/>
      </w:pPr>
      <w:r w:rsidRPr="005F30A2">
        <w:rPr>
          <w:rStyle w:val="TijelotekstaChar"/>
        </w:rPr>
        <w:t>Artículo 3</w:t>
      </w:r>
    </w:p>
    <w:p w14:paraId="7CD267BF" w14:textId="51F0FF4B" w:rsidR="00052469" w:rsidRPr="005F30A2" w:rsidRDefault="00B47B10">
      <w:pPr>
        <w:pStyle w:val="Tijeloteksta"/>
        <w:numPr>
          <w:ilvl w:val="0"/>
          <w:numId w:val="3"/>
        </w:numPr>
        <w:tabs>
          <w:tab w:val="left" w:pos="386"/>
        </w:tabs>
        <w:jc w:val="both"/>
      </w:pPr>
      <w:r w:rsidRPr="005F30A2">
        <w:rPr>
          <w:rStyle w:val="TijelotekstaChar"/>
        </w:rPr>
        <w:t>La solicitud de reconocimiento de cualificaciones profesionales extranjeras y la solicitud de inicio del procedimiento de reconocimiento y de registro de prestación de servicios de forma temporal u ocasional sobre la base de cualificaciones profesionales extranjeras en la República de Croacia se formula al CPM mediante un formulario normalizado, que es la parte integral de este Reglamento (Anexo I).</w:t>
      </w:r>
    </w:p>
    <w:p w14:paraId="2EE30379" w14:textId="77777777" w:rsidR="00052469" w:rsidRPr="005F30A2" w:rsidRDefault="00B47B10">
      <w:pPr>
        <w:pStyle w:val="Tijeloteksta"/>
        <w:numPr>
          <w:ilvl w:val="0"/>
          <w:numId w:val="3"/>
        </w:numPr>
        <w:tabs>
          <w:tab w:val="left" w:pos="377"/>
        </w:tabs>
        <w:jc w:val="both"/>
      </w:pPr>
      <w:r w:rsidRPr="005F30A2">
        <w:rPr>
          <w:rStyle w:val="TijelotekstaChar"/>
        </w:rPr>
        <w:t>El formulario del primer apartado de este artículo se pública en la página web oficial del CPM.</w:t>
      </w:r>
    </w:p>
    <w:p w14:paraId="560900D0" w14:textId="77777777" w:rsidR="00052469" w:rsidRPr="005F30A2" w:rsidRDefault="00B47B10">
      <w:pPr>
        <w:pStyle w:val="Tijeloteksta"/>
        <w:jc w:val="center"/>
      </w:pPr>
      <w:r w:rsidRPr="005F30A2">
        <w:rPr>
          <w:rStyle w:val="TijelotekstaChar"/>
        </w:rPr>
        <w:t>Artículo 4</w:t>
      </w:r>
    </w:p>
    <w:p w14:paraId="32710CD2" w14:textId="77777777" w:rsidR="00052469" w:rsidRPr="005F30A2" w:rsidRDefault="00B47B10">
      <w:pPr>
        <w:pStyle w:val="Tijeloteksta"/>
        <w:numPr>
          <w:ilvl w:val="0"/>
          <w:numId w:val="4"/>
        </w:numPr>
        <w:tabs>
          <w:tab w:val="left" w:pos="386"/>
        </w:tabs>
        <w:jc w:val="both"/>
      </w:pPr>
      <w:r w:rsidRPr="005F30A2">
        <w:rPr>
          <w:rStyle w:val="TijelotekstaChar"/>
        </w:rPr>
        <w:t>La solicitud y toda la documentación adjunta deben estar en el idioma croata y en caracteres latinos.</w:t>
      </w:r>
      <w:r w:rsidRPr="005F30A2">
        <w:br w:type="page"/>
      </w:r>
    </w:p>
    <w:p w14:paraId="3605A54A" w14:textId="0ECBCFF9" w:rsidR="00052469" w:rsidRPr="005F30A2" w:rsidRDefault="00B47B10" w:rsidP="005F30A2">
      <w:pPr>
        <w:pStyle w:val="Tijeloteksta"/>
        <w:numPr>
          <w:ilvl w:val="0"/>
          <w:numId w:val="4"/>
        </w:numPr>
        <w:tabs>
          <w:tab w:val="left" w:pos="385"/>
        </w:tabs>
        <w:spacing w:after="0"/>
        <w:jc w:val="both"/>
      </w:pPr>
      <w:r w:rsidRPr="005F30A2">
        <w:rPr>
          <w:rStyle w:val="TijelotekstaChar"/>
        </w:rPr>
        <w:lastRenderedPageBreak/>
        <w:t xml:space="preserve">Si la documentación original adjunta a la solicitud está en un idioma extranjero o en caracteres que no sea de uso oficial, a la solicitud se adjuntan la traducción de esta documentación, certificada por un </w:t>
      </w:r>
      <w:r w:rsidR="005F30A2" w:rsidRPr="005F30A2">
        <w:rPr>
          <w:rStyle w:val="TijelotekstaChar"/>
        </w:rPr>
        <w:t>intérprete</w:t>
      </w:r>
      <w:r w:rsidRPr="005F30A2">
        <w:rPr>
          <w:rStyle w:val="TijelotekstaChar"/>
        </w:rPr>
        <w:t xml:space="preserve"> jurado del idioma croata.</w:t>
      </w:r>
    </w:p>
    <w:p w14:paraId="11A2C8EC" w14:textId="01587094" w:rsidR="00052469" w:rsidRPr="005F30A2" w:rsidRDefault="00B47B10" w:rsidP="005F30A2">
      <w:pPr>
        <w:pStyle w:val="Tijeloteksta"/>
        <w:numPr>
          <w:ilvl w:val="0"/>
          <w:numId w:val="4"/>
        </w:numPr>
        <w:tabs>
          <w:tab w:val="left" w:pos="385"/>
        </w:tabs>
        <w:spacing w:after="0"/>
        <w:jc w:val="both"/>
      </w:pPr>
      <w:r w:rsidRPr="005F30A2">
        <w:rPr>
          <w:rStyle w:val="TijelotekstaChar"/>
        </w:rPr>
        <w:t>La documentación del apartado 2 de este artículo se adjunta en original o en copias legalizadas, y, si procede, t</w:t>
      </w:r>
      <w:r w:rsidR="005F30A2">
        <w:rPr>
          <w:rStyle w:val="TijelotekstaChar"/>
        </w:rPr>
        <w:t>raducida al idioma croata por u</w:t>
      </w:r>
      <w:r w:rsidRPr="005F30A2">
        <w:rPr>
          <w:rStyle w:val="TijelotekstaChar"/>
        </w:rPr>
        <w:t xml:space="preserve">  </w:t>
      </w:r>
      <w:r w:rsidR="005F30A2" w:rsidRPr="005F30A2">
        <w:rPr>
          <w:rStyle w:val="TijelotekstaChar"/>
        </w:rPr>
        <w:t>intérprete</w:t>
      </w:r>
      <w:r w:rsidRPr="005F30A2">
        <w:rPr>
          <w:rStyle w:val="TijelotekstaChar"/>
        </w:rPr>
        <w:t xml:space="preserve"> jurado, a menos que una norma o la Ley de profesiones reguladas y de reconocimiento de cualificaciones profesionales extranjeras especifiquen lo contrario.</w:t>
      </w:r>
    </w:p>
    <w:p w14:paraId="2D02D2B0" w14:textId="77777777" w:rsidR="00052469" w:rsidRPr="005F30A2" w:rsidRDefault="00B47B10" w:rsidP="005F30A2">
      <w:pPr>
        <w:pStyle w:val="Tijeloteksta"/>
        <w:numPr>
          <w:ilvl w:val="0"/>
          <w:numId w:val="4"/>
        </w:numPr>
        <w:tabs>
          <w:tab w:val="left" w:pos="380"/>
        </w:tabs>
        <w:spacing w:after="0"/>
        <w:jc w:val="both"/>
      </w:pPr>
      <w:r w:rsidRPr="005F30A2">
        <w:rPr>
          <w:rStyle w:val="TijelotekstaChar"/>
        </w:rPr>
        <w:t>La documentación de este artículo se adjunta también en copias no legalizadas para ser agregadas al expediente.</w:t>
      </w:r>
    </w:p>
    <w:p w14:paraId="60597251" w14:textId="77777777" w:rsidR="00052469" w:rsidRPr="005F30A2" w:rsidRDefault="00B47B10" w:rsidP="005F30A2">
      <w:pPr>
        <w:pStyle w:val="Tijeloteksta"/>
        <w:numPr>
          <w:ilvl w:val="0"/>
          <w:numId w:val="4"/>
        </w:numPr>
        <w:tabs>
          <w:tab w:val="left" w:pos="380"/>
        </w:tabs>
        <w:spacing w:after="0"/>
        <w:jc w:val="both"/>
      </w:pPr>
      <w:r w:rsidRPr="005F30A2">
        <w:rPr>
          <w:rStyle w:val="TijelotekstaChar"/>
        </w:rPr>
        <w:t>La persona autorizada en el CPM certificará las copias no legalizadas con su firma y sello.</w:t>
      </w:r>
    </w:p>
    <w:p w14:paraId="62837919" w14:textId="77777777" w:rsidR="00052469" w:rsidRPr="005F30A2" w:rsidRDefault="00B47B10" w:rsidP="005F30A2">
      <w:pPr>
        <w:pStyle w:val="Tijeloteksta"/>
        <w:numPr>
          <w:ilvl w:val="0"/>
          <w:numId w:val="4"/>
        </w:numPr>
        <w:tabs>
          <w:tab w:val="left" w:pos="380"/>
        </w:tabs>
        <w:spacing w:after="0"/>
        <w:jc w:val="both"/>
      </w:pPr>
      <w:r w:rsidRPr="005F30A2">
        <w:rPr>
          <w:rStyle w:val="TijelotekstaChar"/>
        </w:rPr>
        <w:t>Después de la legalización a que se hace referencia en el  apartado 5 de este artículo, y al más tardar una vez terminado el procedimiento, los originales o las copias legalizadas de la documentación presentada serán devueltos al solicitante.</w:t>
      </w:r>
    </w:p>
    <w:p w14:paraId="68C98E98" w14:textId="77777777" w:rsidR="00052469" w:rsidRPr="005F30A2" w:rsidRDefault="00B47B10" w:rsidP="005F30A2">
      <w:pPr>
        <w:pStyle w:val="Tijeloteksta"/>
        <w:spacing w:after="0"/>
        <w:jc w:val="center"/>
      </w:pPr>
      <w:r w:rsidRPr="005F30A2">
        <w:rPr>
          <w:rStyle w:val="TijelotekstaChar"/>
        </w:rPr>
        <w:t>Artículo 5</w:t>
      </w:r>
    </w:p>
    <w:p w14:paraId="1770473F" w14:textId="77777777" w:rsidR="00052469" w:rsidRPr="005F30A2" w:rsidRDefault="00B47B10" w:rsidP="005F30A2">
      <w:pPr>
        <w:pStyle w:val="Tijeloteksta"/>
        <w:spacing w:after="0"/>
        <w:jc w:val="both"/>
      </w:pPr>
      <w:r w:rsidRPr="005F30A2">
        <w:rPr>
          <w:rStyle w:val="TijelotekstaChar"/>
        </w:rPr>
        <w:t xml:space="preserve"> Resolverá acerca de la solicitud a que se hace referencia en el  artículo 3 de este Reglamento el CPM.</w:t>
      </w:r>
    </w:p>
    <w:p w14:paraId="4969F030" w14:textId="77777777" w:rsidR="00052469" w:rsidRPr="005F30A2" w:rsidRDefault="00B47B10" w:rsidP="005F30A2">
      <w:pPr>
        <w:pStyle w:val="Heading20"/>
        <w:keepNext/>
        <w:keepLines/>
        <w:numPr>
          <w:ilvl w:val="0"/>
          <w:numId w:val="1"/>
        </w:numPr>
        <w:tabs>
          <w:tab w:val="left" w:pos="351"/>
        </w:tabs>
        <w:spacing w:after="0"/>
      </w:pPr>
      <w:bookmarkStart w:id="3" w:name="bookmark4"/>
      <w:r w:rsidRPr="005F30A2">
        <w:rPr>
          <w:rStyle w:val="Heading2"/>
          <w:b/>
        </w:rPr>
        <w:t>RÉGIMEN GENERAL DE RECONOCIMIENTO DE CUALIFICACIONES PROFESIONALES EXTRANJERAS</w:t>
      </w:r>
      <w:bookmarkEnd w:id="3"/>
    </w:p>
    <w:p w14:paraId="0030330A" w14:textId="77777777" w:rsidR="00052469" w:rsidRPr="005F30A2" w:rsidRDefault="00B47B10" w:rsidP="005F30A2">
      <w:pPr>
        <w:pStyle w:val="Tijeloteksta"/>
        <w:spacing w:after="0"/>
        <w:jc w:val="center"/>
      </w:pPr>
      <w:r w:rsidRPr="005F30A2">
        <w:rPr>
          <w:rStyle w:val="TijelotekstaChar"/>
        </w:rPr>
        <w:t>Artículo 6</w:t>
      </w:r>
    </w:p>
    <w:p w14:paraId="5422B2B1" w14:textId="77777777" w:rsidR="00052469" w:rsidRPr="005F30A2" w:rsidRDefault="00B47B10" w:rsidP="005F30A2">
      <w:pPr>
        <w:pStyle w:val="Tijeloteksta"/>
        <w:numPr>
          <w:ilvl w:val="0"/>
          <w:numId w:val="5"/>
        </w:numPr>
        <w:tabs>
          <w:tab w:val="left" w:pos="380"/>
        </w:tabs>
        <w:spacing w:after="0"/>
        <w:jc w:val="both"/>
      </w:pPr>
      <w:r w:rsidRPr="005F30A2">
        <w:rPr>
          <w:rStyle w:val="TijelotekstaChar"/>
        </w:rPr>
        <w:t>El régimen general de reconocimiento de cualificaciones profesionales extranjeras se aplica a los nacionales de los Estados miembros de la Unión europea (en adelante: UE), es decir de los Estados partes en el Acuerdo sobre el Espacio Económico Europeo (en adelante: EEE), a los nacionales de la Confederación Suiza y a los nacionales de la República de Croacia quienes hayan obtenido sus calificaciones profesionales en un Estado miembro de la UE, o en un Estado parte en Acuerdo del EEE o en la Confederación Suiza y quienes, dadas las circunstancias especiales y extraordinarios, previstas por una reglamentación especial, no cumplan los requisitos del régimen de reconocimiento automático de cualificaciones profesionales extranjeras.</w:t>
      </w:r>
    </w:p>
    <w:p w14:paraId="522E02A6" w14:textId="77777777" w:rsidR="00052469" w:rsidRPr="005F30A2" w:rsidRDefault="00B47B10" w:rsidP="005F30A2">
      <w:pPr>
        <w:pStyle w:val="Tijeloteksta"/>
        <w:numPr>
          <w:ilvl w:val="0"/>
          <w:numId w:val="5"/>
        </w:numPr>
        <w:tabs>
          <w:tab w:val="left" w:pos="385"/>
        </w:tabs>
        <w:spacing w:after="0"/>
        <w:jc w:val="both"/>
      </w:pPr>
      <w:r w:rsidRPr="005F30A2">
        <w:rPr>
          <w:rStyle w:val="TijelotekstaChar"/>
        </w:rPr>
        <w:t>El régimen general de reconocimiento de cualificaciones profesionales extranjeras se aplica a los nacionales de los Estados miembros de la UE, o de un estados parte en el Acuerdo sobre el EEE, a los nacionales de la Confederación Suiza y a los nacionales de la República de Croacia quienes hayan obtenido sus calificaciones profesionales en terceros países, es decir en un estado fuera de la UE, que no sea parte en el Acuerdo sobre el EEE o de la Confederación Suiza (en adelante: tercero país).</w:t>
      </w:r>
    </w:p>
    <w:p w14:paraId="4A287412" w14:textId="77777777" w:rsidR="00052469" w:rsidRPr="005F30A2" w:rsidRDefault="00B47B10" w:rsidP="005F30A2">
      <w:pPr>
        <w:pStyle w:val="Tijeloteksta"/>
        <w:numPr>
          <w:ilvl w:val="0"/>
          <w:numId w:val="5"/>
        </w:numPr>
        <w:tabs>
          <w:tab w:val="left" w:pos="385"/>
        </w:tabs>
        <w:spacing w:after="0"/>
        <w:jc w:val="both"/>
      </w:pPr>
      <w:r w:rsidRPr="005F30A2">
        <w:rPr>
          <w:rStyle w:val="TijelotekstaChar"/>
        </w:rPr>
        <w:t>El régimen general de reconocimiento de cualificaciones profesionales extranjeras se aplica a los nacionales de los terceros países quienes hayan obtenido sus calificaciones profesionales en un Estado miembro de la UE, o en un Estado parte en Acuerdo del EEE o en la Confederación Suiza y quienes, dadas las circunstancias especiales y extraordinarios, previstas por una reglamentación especial, no cumplan los requisitos del régimen de reconocimiento automático de cualificaciones profesionales extranjeras.</w:t>
      </w:r>
      <w:r w:rsidRPr="005F30A2">
        <w:br w:type="page"/>
      </w:r>
    </w:p>
    <w:p w14:paraId="0CF9A13F" w14:textId="77777777" w:rsidR="00052469" w:rsidRPr="005F30A2" w:rsidRDefault="00B47B10" w:rsidP="005F30A2">
      <w:pPr>
        <w:pStyle w:val="Tijeloteksta"/>
        <w:numPr>
          <w:ilvl w:val="0"/>
          <w:numId w:val="5"/>
        </w:numPr>
        <w:tabs>
          <w:tab w:val="left" w:pos="393"/>
        </w:tabs>
        <w:spacing w:after="0"/>
        <w:jc w:val="both"/>
      </w:pPr>
      <w:r w:rsidRPr="005F30A2">
        <w:rPr>
          <w:rStyle w:val="TijelotekstaChar"/>
        </w:rPr>
        <w:lastRenderedPageBreak/>
        <w:t>El régimen general de reconocimiento de cualificaciones profesionales extranjeras se aplica a los nacionales de los terceros países quienes hayan obtenido sus calificaciones profesionales en países terceros.</w:t>
      </w:r>
    </w:p>
    <w:p w14:paraId="5FABA508" w14:textId="77777777" w:rsidR="00052469" w:rsidRPr="005F30A2" w:rsidRDefault="00B47B10" w:rsidP="005F30A2">
      <w:pPr>
        <w:pStyle w:val="Tijeloteksta"/>
        <w:spacing w:after="0"/>
        <w:jc w:val="center"/>
      </w:pPr>
      <w:r w:rsidRPr="005F30A2">
        <w:rPr>
          <w:rStyle w:val="TijelotekstaChar"/>
        </w:rPr>
        <w:t>Artículo 7</w:t>
      </w:r>
    </w:p>
    <w:p w14:paraId="56E7181E" w14:textId="77777777" w:rsidR="00052469" w:rsidRPr="005F30A2" w:rsidRDefault="00B47B10" w:rsidP="005F30A2">
      <w:pPr>
        <w:pStyle w:val="Tijeloteksta"/>
        <w:numPr>
          <w:ilvl w:val="0"/>
          <w:numId w:val="6"/>
        </w:numPr>
        <w:tabs>
          <w:tab w:val="left" w:pos="393"/>
        </w:tabs>
        <w:spacing w:after="0"/>
        <w:jc w:val="both"/>
      </w:pPr>
      <w:r w:rsidRPr="005F30A2">
        <w:rPr>
          <w:rStyle w:val="TijelotekstaChar"/>
        </w:rPr>
        <w:t>El procedimiento de reconocimiento de cualificaciones profesionales extranjeras según el régimen general de reconocimiento se inicia presentando una solicitud de reconocimiento de cualificaciones profesionales extranjeras.</w:t>
      </w:r>
    </w:p>
    <w:p w14:paraId="7A952C88" w14:textId="77777777" w:rsidR="00052469" w:rsidRPr="005F30A2" w:rsidRDefault="00B47B10" w:rsidP="005F30A2">
      <w:pPr>
        <w:pStyle w:val="Tijeloteksta"/>
        <w:numPr>
          <w:ilvl w:val="0"/>
          <w:numId w:val="6"/>
        </w:numPr>
        <w:tabs>
          <w:tab w:val="left" w:pos="384"/>
        </w:tabs>
        <w:spacing w:after="0"/>
        <w:jc w:val="both"/>
      </w:pPr>
      <w:r w:rsidRPr="005F30A2">
        <w:rPr>
          <w:rStyle w:val="TijelotekstaChar"/>
        </w:rPr>
        <w:t>La solicitud irá acompañada de la documentación siguiente:</w:t>
      </w:r>
    </w:p>
    <w:p w14:paraId="47DA645A" w14:textId="77777777" w:rsidR="00052469" w:rsidRPr="005F30A2" w:rsidRDefault="00B47B10" w:rsidP="005F30A2">
      <w:pPr>
        <w:pStyle w:val="Tijeloteksta"/>
        <w:numPr>
          <w:ilvl w:val="0"/>
          <w:numId w:val="7"/>
        </w:numPr>
        <w:tabs>
          <w:tab w:val="left" w:pos="1095"/>
        </w:tabs>
        <w:spacing w:after="0"/>
        <w:ind w:left="1100" w:hanging="360"/>
        <w:jc w:val="both"/>
      </w:pPr>
      <w:r w:rsidRPr="005F30A2">
        <w:rPr>
          <w:rStyle w:val="TijelotekstaChar"/>
        </w:rPr>
        <w:t>la prueba de la nacionalidad (certificado de nacionalidad croata, pasaporte u otro documento de nacionalidad correspondiente)</w:t>
      </w:r>
    </w:p>
    <w:p w14:paraId="2048AFC8" w14:textId="77777777" w:rsidR="00052469" w:rsidRPr="005F30A2" w:rsidRDefault="00B47B10" w:rsidP="005F30A2">
      <w:pPr>
        <w:pStyle w:val="Tijeloteksta"/>
        <w:numPr>
          <w:ilvl w:val="0"/>
          <w:numId w:val="7"/>
        </w:numPr>
        <w:tabs>
          <w:tab w:val="left" w:pos="1095"/>
        </w:tabs>
        <w:spacing w:after="0"/>
        <w:ind w:left="1100" w:hanging="360"/>
        <w:jc w:val="both"/>
      </w:pPr>
      <w:r w:rsidRPr="005F30A2">
        <w:rPr>
          <w:rStyle w:val="TijelotekstaChar"/>
        </w:rPr>
        <w:t>prueba de educación previa (certificado del último año de enseñanza secundaria – esta prueba no es necesaria si el suplemento al título menciona los requisitos de inscripción a un centro de enseñanza superior)</w:t>
      </w:r>
    </w:p>
    <w:p w14:paraId="1F8C5264" w14:textId="77777777" w:rsidR="00052469" w:rsidRPr="005F30A2" w:rsidRDefault="00B47B10" w:rsidP="005F30A2">
      <w:pPr>
        <w:pStyle w:val="Tijeloteksta"/>
        <w:numPr>
          <w:ilvl w:val="0"/>
          <w:numId w:val="7"/>
        </w:numPr>
        <w:tabs>
          <w:tab w:val="left" w:pos="1095"/>
        </w:tabs>
        <w:spacing w:after="0"/>
        <w:ind w:left="1100" w:hanging="360"/>
        <w:jc w:val="both"/>
      </w:pPr>
      <w:r w:rsidRPr="005F30A2">
        <w:rPr>
          <w:rStyle w:val="TijelotekstaChar"/>
        </w:rPr>
        <w:t>título de formación y otras pruebas de educación formal:</w:t>
      </w:r>
    </w:p>
    <w:p w14:paraId="65418BC9" w14:textId="77777777" w:rsidR="00052469" w:rsidRPr="005F30A2" w:rsidRDefault="00B47B10" w:rsidP="005F30A2">
      <w:pPr>
        <w:pStyle w:val="Tijeloteksta"/>
        <w:numPr>
          <w:ilvl w:val="0"/>
          <w:numId w:val="8"/>
        </w:numPr>
        <w:tabs>
          <w:tab w:val="left" w:pos="1896"/>
        </w:tabs>
        <w:spacing w:after="0"/>
        <w:ind w:left="1580"/>
        <w:jc w:val="both"/>
      </w:pPr>
      <w:r w:rsidRPr="005F30A2">
        <w:rPr>
          <w:rStyle w:val="TijelotekstaChar"/>
        </w:rPr>
        <w:t>título del centro de enseñanza superior extranjero – facultad de medicina</w:t>
      </w:r>
    </w:p>
    <w:p w14:paraId="1E9C8679" w14:textId="77777777" w:rsidR="00052469" w:rsidRPr="005F30A2" w:rsidRDefault="00B47B10" w:rsidP="005F30A2">
      <w:pPr>
        <w:pStyle w:val="Tijeloteksta"/>
        <w:numPr>
          <w:ilvl w:val="0"/>
          <w:numId w:val="8"/>
        </w:numPr>
        <w:tabs>
          <w:tab w:val="left" w:pos="1916"/>
        </w:tabs>
        <w:spacing w:after="0"/>
        <w:ind w:left="1940" w:hanging="360"/>
        <w:jc w:val="both"/>
      </w:pPr>
      <w:r w:rsidRPr="005F30A2">
        <w:rPr>
          <w:rStyle w:val="TijelotekstaChar"/>
        </w:rPr>
        <w:t>suplemento al título, es decir el documento que incluye la denominación oficial y la duración del programa de estudios, las condiciones de inscripción, el año de inscripción, todas las materias previstas por el programa de estudios que conduce al título de educación superior y al título académico del médico en el Estado donde la capacitación haya tenido lugar, horas totales de cada materia y las calificaciones obtenidas</w:t>
      </w:r>
    </w:p>
    <w:p w14:paraId="75DF8B5F" w14:textId="4C580E06" w:rsidR="00052469" w:rsidRPr="005F30A2" w:rsidRDefault="00B47B10" w:rsidP="005F30A2">
      <w:pPr>
        <w:pStyle w:val="Tijeloteksta"/>
        <w:numPr>
          <w:ilvl w:val="0"/>
          <w:numId w:val="8"/>
        </w:numPr>
        <w:tabs>
          <w:tab w:val="left" w:pos="1882"/>
        </w:tabs>
        <w:spacing w:after="0"/>
        <w:ind w:left="1940" w:hanging="360"/>
        <w:jc w:val="both"/>
      </w:pPr>
      <w:r w:rsidRPr="005F30A2">
        <w:rPr>
          <w:rStyle w:val="TijelotekstaChar"/>
        </w:rPr>
        <w:t xml:space="preserve">programa de enseñanza completo del centro de enseñanza superior – facultad de medicina, certificado por el centro de enseñanza superior para dar fe que el programa de enseñanza fue válido para el solicitante para el reconocimiento de la cualificación profesional extranjeras y que ha conducido al título de educación superior de educación superior </w:t>
      </w:r>
    </w:p>
    <w:p w14:paraId="1BF2BD4A" w14:textId="77777777" w:rsidR="00052469" w:rsidRPr="005F30A2" w:rsidRDefault="00B47B10" w:rsidP="005F30A2">
      <w:pPr>
        <w:pStyle w:val="Tijeloteksta"/>
        <w:numPr>
          <w:ilvl w:val="0"/>
          <w:numId w:val="8"/>
        </w:numPr>
        <w:tabs>
          <w:tab w:val="left" w:pos="1920"/>
        </w:tabs>
        <w:spacing w:after="0"/>
        <w:ind w:left="1940" w:hanging="360"/>
        <w:jc w:val="both"/>
      </w:pPr>
      <w:r w:rsidRPr="005F30A2">
        <w:rPr>
          <w:rStyle w:val="TijelotekstaChar"/>
        </w:rPr>
        <w:t>los solicitantes quienes durante sus estudios hayan pasado de un centro de enseñanza superior a otro centro de enseñanza superior, además de la documentación arriba mencionada, también deben adjuntar:</w:t>
      </w:r>
    </w:p>
    <w:p w14:paraId="4A548A70" w14:textId="77777777" w:rsidR="00052469" w:rsidRPr="005F30A2" w:rsidRDefault="00B47B10" w:rsidP="005F30A2">
      <w:pPr>
        <w:pStyle w:val="Tijeloteksta"/>
        <w:spacing w:after="0"/>
        <w:ind w:left="2180"/>
        <w:jc w:val="both"/>
      </w:pPr>
      <w:r w:rsidRPr="005F30A2">
        <w:rPr>
          <w:rStyle w:val="TijelotekstaChar"/>
          <w:rFonts w:ascii="Courier New" w:hAnsi="Courier New"/>
        </w:rPr>
        <w:t xml:space="preserve">o </w:t>
      </w:r>
      <w:r w:rsidRPr="005F30A2">
        <w:rPr>
          <w:rStyle w:val="TijelotekstaChar"/>
        </w:rPr>
        <w:t xml:space="preserve">expediente académico de ambos centros de enseñanza superior </w:t>
      </w:r>
    </w:p>
    <w:p w14:paraId="284FBA43" w14:textId="77777777" w:rsidR="00052469" w:rsidRPr="005F30A2" w:rsidRDefault="00B47B10" w:rsidP="005F30A2">
      <w:pPr>
        <w:pStyle w:val="Tijeloteksta"/>
        <w:spacing w:after="0"/>
        <w:ind w:left="2180"/>
        <w:jc w:val="both"/>
      </w:pPr>
      <w:r w:rsidRPr="005F30A2">
        <w:rPr>
          <w:rStyle w:val="TijelotekstaChar"/>
          <w:rFonts w:ascii="Courier New" w:hAnsi="Courier New"/>
        </w:rPr>
        <w:t xml:space="preserve">o </w:t>
      </w:r>
      <w:r w:rsidRPr="005F30A2">
        <w:rPr>
          <w:rStyle w:val="TijelotekstaChar"/>
        </w:rPr>
        <w:t>certificado de baja del centro de enseñanza superior</w:t>
      </w:r>
    </w:p>
    <w:p w14:paraId="15A9726F" w14:textId="77777777" w:rsidR="00052469" w:rsidRPr="005F30A2" w:rsidRDefault="00B47B10" w:rsidP="005F30A2">
      <w:pPr>
        <w:pStyle w:val="Tijeloteksta"/>
        <w:spacing w:after="0"/>
        <w:ind w:left="2180"/>
        <w:jc w:val="both"/>
      </w:pPr>
      <w:r w:rsidRPr="005F30A2">
        <w:rPr>
          <w:rStyle w:val="TijelotekstaChar"/>
          <w:rFonts w:ascii="Courier New" w:hAnsi="Courier New"/>
        </w:rPr>
        <w:t xml:space="preserve">o </w:t>
      </w:r>
      <w:r w:rsidRPr="005F30A2">
        <w:rPr>
          <w:rStyle w:val="TijelotekstaChar"/>
        </w:rPr>
        <w:t>autorización de cambio del centro de enseñanza superior - de la inscripción a otro centro de enseñanza superior</w:t>
      </w:r>
    </w:p>
    <w:p w14:paraId="2097DADA" w14:textId="77777777" w:rsidR="00052469" w:rsidRPr="005F30A2" w:rsidRDefault="00B47B10" w:rsidP="005F30A2">
      <w:pPr>
        <w:pStyle w:val="Tijeloteksta"/>
        <w:numPr>
          <w:ilvl w:val="0"/>
          <w:numId w:val="7"/>
        </w:numPr>
        <w:tabs>
          <w:tab w:val="left" w:pos="1135"/>
        </w:tabs>
        <w:spacing w:after="0"/>
        <w:ind w:firstLine="740"/>
        <w:jc w:val="both"/>
      </w:pPr>
      <w:r w:rsidRPr="005F30A2">
        <w:rPr>
          <w:rStyle w:val="TijelotekstaChar"/>
        </w:rPr>
        <w:t>prueba del examen de competencia profesional superado</w:t>
      </w:r>
    </w:p>
    <w:p w14:paraId="7CB39E74" w14:textId="77777777" w:rsidR="00052469" w:rsidRPr="005F30A2" w:rsidRDefault="00B47B10" w:rsidP="005F30A2">
      <w:pPr>
        <w:pStyle w:val="Tijeloteksta"/>
        <w:numPr>
          <w:ilvl w:val="0"/>
          <w:numId w:val="9"/>
        </w:numPr>
        <w:tabs>
          <w:tab w:val="left" w:pos="1875"/>
        </w:tabs>
        <w:spacing w:after="0"/>
        <w:ind w:left="1820" w:hanging="360"/>
        <w:jc w:val="both"/>
      </w:pPr>
      <w:r w:rsidRPr="005F30A2">
        <w:rPr>
          <w:rStyle w:val="TijelotekstaChar"/>
        </w:rPr>
        <w:t>plan y programa del periodo de prácticas (libreta de prácticas o plan y programa expedido por la institución competente extranjero o extracto del boletín oficial extranjero válido para el periodo de prácticas del solicitante)</w:t>
      </w:r>
    </w:p>
    <w:p w14:paraId="11D2D05D" w14:textId="77777777" w:rsidR="00052469" w:rsidRPr="005F30A2" w:rsidRDefault="00B47B10" w:rsidP="005F30A2">
      <w:pPr>
        <w:pStyle w:val="Tijeloteksta"/>
        <w:numPr>
          <w:ilvl w:val="0"/>
          <w:numId w:val="9"/>
        </w:numPr>
        <w:tabs>
          <w:tab w:val="left" w:pos="1875"/>
        </w:tabs>
        <w:spacing w:after="0"/>
        <w:ind w:left="1460"/>
        <w:jc w:val="both"/>
      </w:pPr>
      <w:r w:rsidRPr="005F30A2">
        <w:rPr>
          <w:rStyle w:val="TijelotekstaChar"/>
        </w:rPr>
        <w:t>certificado del examen del periodo de prácticas superado</w:t>
      </w:r>
    </w:p>
    <w:p w14:paraId="5F903BF3" w14:textId="77777777" w:rsidR="00052469" w:rsidRPr="005F30A2" w:rsidRDefault="00B47B10" w:rsidP="005F30A2">
      <w:pPr>
        <w:pStyle w:val="Tijeloteksta"/>
        <w:numPr>
          <w:ilvl w:val="0"/>
          <w:numId w:val="7"/>
        </w:numPr>
        <w:tabs>
          <w:tab w:val="left" w:pos="1135"/>
        </w:tabs>
        <w:spacing w:after="0"/>
        <w:ind w:firstLine="740"/>
        <w:jc w:val="both"/>
      </w:pPr>
      <w:r w:rsidRPr="005F30A2">
        <w:rPr>
          <w:rStyle w:val="TijelotekstaChar"/>
        </w:rPr>
        <w:t>prueba de cualificación profesional</w:t>
      </w:r>
    </w:p>
    <w:p w14:paraId="3B58D403" w14:textId="77777777" w:rsidR="00052469" w:rsidRPr="005F30A2" w:rsidRDefault="00B47B10" w:rsidP="005F30A2">
      <w:pPr>
        <w:pStyle w:val="Tijeloteksta"/>
        <w:numPr>
          <w:ilvl w:val="0"/>
          <w:numId w:val="10"/>
        </w:numPr>
        <w:tabs>
          <w:tab w:val="left" w:pos="1875"/>
        </w:tabs>
        <w:spacing w:after="0"/>
        <w:ind w:left="1820" w:hanging="360"/>
        <w:jc w:val="both"/>
      </w:pPr>
      <w:r w:rsidRPr="005F30A2">
        <w:rPr>
          <w:rStyle w:val="TijelotekstaChar"/>
        </w:rPr>
        <w:t>plan y programa del periodo de prácticas (documento de seguimiento del periodo de prácticas o plan y programa expedido por el por  la institución competente extranjero o extracto</w:t>
      </w:r>
      <w:r w:rsidRPr="005F30A2">
        <w:br w:type="page"/>
      </w:r>
    </w:p>
    <w:p w14:paraId="59CA3ECC" w14:textId="77777777" w:rsidR="00052469" w:rsidRPr="005F30A2" w:rsidRDefault="00B47B10">
      <w:pPr>
        <w:pStyle w:val="Tijeloteksta"/>
        <w:spacing w:after="0"/>
        <w:ind w:left="1820"/>
        <w:jc w:val="both"/>
      </w:pPr>
      <w:r w:rsidRPr="005F30A2">
        <w:rPr>
          <w:rStyle w:val="TijelotekstaChar"/>
        </w:rPr>
        <w:lastRenderedPageBreak/>
        <w:t>del boletín oficial extranjero válido para el periodo de prácticas del solicitante)</w:t>
      </w:r>
    </w:p>
    <w:p w14:paraId="3ED7EB6E" w14:textId="77777777" w:rsidR="00052469" w:rsidRPr="005F30A2" w:rsidRDefault="00B47B10">
      <w:pPr>
        <w:pStyle w:val="Tijeloteksta"/>
        <w:numPr>
          <w:ilvl w:val="0"/>
          <w:numId w:val="10"/>
        </w:numPr>
        <w:tabs>
          <w:tab w:val="left" w:pos="345"/>
        </w:tabs>
        <w:spacing w:after="0"/>
        <w:jc w:val="center"/>
      </w:pPr>
      <w:r w:rsidRPr="005F30A2">
        <w:rPr>
          <w:rStyle w:val="TijelotekstaChar"/>
        </w:rPr>
        <w:t>certificado del examen de especialidad médica superado</w:t>
      </w:r>
    </w:p>
    <w:p w14:paraId="7C6FB432" w14:textId="77777777" w:rsidR="00052469" w:rsidRPr="005F30A2" w:rsidRDefault="00B47B10">
      <w:pPr>
        <w:pStyle w:val="Tijeloteksta"/>
        <w:numPr>
          <w:ilvl w:val="0"/>
          <w:numId w:val="7"/>
        </w:numPr>
        <w:tabs>
          <w:tab w:val="left" w:pos="1091"/>
        </w:tabs>
        <w:spacing w:after="0"/>
        <w:ind w:left="1100" w:hanging="360"/>
        <w:jc w:val="both"/>
      </w:pPr>
      <w:r w:rsidRPr="005F30A2">
        <w:rPr>
          <w:rStyle w:val="TijelotekstaChar"/>
        </w:rPr>
        <w:t>prueba de formación profesional (certificado de los estudios de posgrado terminados o de un curso de formación profesional)</w:t>
      </w:r>
    </w:p>
    <w:p w14:paraId="6460EF2D" w14:textId="77777777" w:rsidR="00052469" w:rsidRPr="005F30A2" w:rsidRDefault="00B47B10">
      <w:pPr>
        <w:pStyle w:val="Tijeloteksta"/>
        <w:numPr>
          <w:ilvl w:val="0"/>
          <w:numId w:val="7"/>
        </w:numPr>
        <w:tabs>
          <w:tab w:val="left" w:pos="1075"/>
        </w:tabs>
        <w:spacing w:after="0"/>
        <w:ind w:firstLine="720"/>
        <w:jc w:val="both"/>
      </w:pPr>
      <w:r w:rsidRPr="005F30A2">
        <w:rPr>
          <w:rStyle w:val="TijelotekstaChar"/>
        </w:rPr>
        <w:t>prueba de experiencia profesional (certificado del empleador o historia laboral)</w:t>
      </w:r>
    </w:p>
    <w:p w14:paraId="75C48BDA" w14:textId="77777777" w:rsidR="00052469" w:rsidRPr="005F30A2" w:rsidRDefault="00B47B10">
      <w:pPr>
        <w:pStyle w:val="Tijeloteksta"/>
        <w:numPr>
          <w:ilvl w:val="0"/>
          <w:numId w:val="7"/>
        </w:numPr>
        <w:tabs>
          <w:tab w:val="left" w:pos="1091"/>
        </w:tabs>
        <w:spacing w:after="0"/>
        <w:ind w:left="1100" w:hanging="360"/>
        <w:jc w:val="both"/>
      </w:pPr>
      <w:r w:rsidRPr="005F30A2">
        <w:rPr>
          <w:rStyle w:val="TijelotekstaChar"/>
        </w:rPr>
        <w:t>acreditación de competencias (certificados de competencias profesionales en el ámbito de su calificación profesional)</w:t>
      </w:r>
    </w:p>
    <w:p w14:paraId="103629BA" w14:textId="77777777" w:rsidR="00052469" w:rsidRPr="005F30A2" w:rsidRDefault="00B47B10">
      <w:pPr>
        <w:pStyle w:val="Tijeloteksta"/>
        <w:numPr>
          <w:ilvl w:val="0"/>
          <w:numId w:val="7"/>
        </w:numPr>
        <w:tabs>
          <w:tab w:val="left" w:pos="1091"/>
        </w:tabs>
        <w:spacing w:after="140"/>
        <w:ind w:left="1100" w:hanging="360"/>
        <w:jc w:val="both"/>
      </w:pPr>
      <w:r w:rsidRPr="005F30A2">
        <w:rPr>
          <w:rStyle w:val="TijelotekstaChar"/>
        </w:rPr>
        <w:t>otros documentos (prueba de pertenencia al Colegio profesional de médicos, acta de matrimonio o decisión de la autoridad competente para las personas que hayan cambiado su nombre y/o apellido)</w:t>
      </w:r>
    </w:p>
    <w:p w14:paraId="08EB7E0B" w14:textId="77777777" w:rsidR="00052469" w:rsidRPr="005F30A2" w:rsidRDefault="00B47B10">
      <w:pPr>
        <w:pStyle w:val="Tijeloteksta"/>
        <w:numPr>
          <w:ilvl w:val="0"/>
          <w:numId w:val="7"/>
        </w:numPr>
        <w:tabs>
          <w:tab w:val="left" w:pos="1152"/>
        </w:tabs>
        <w:spacing w:after="0"/>
        <w:ind w:left="1100" w:hanging="360"/>
        <w:jc w:val="both"/>
      </w:pPr>
      <w:r w:rsidRPr="005F30A2">
        <w:rPr>
          <w:rStyle w:val="TijelotekstaChar"/>
        </w:rPr>
        <w:t>comprobante de pago de los gastos del procedimiento de reconocimiento de cualificaciones profesionales extranjeras</w:t>
      </w:r>
    </w:p>
    <w:p w14:paraId="4D4F2BAF" w14:textId="77777777" w:rsidR="00052469" w:rsidRPr="005F30A2" w:rsidRDefault="00B47B10">
      <w:pPr>
        <w:pStyle w:val="Tijeloteksta"/>
        <w:numPr>
          <w:ilvl w:val="0"/>
          <w:numId w:val="7"/>
        </w:numPr>
        <w:tabs>
          <w:tab w:val="left" w:pos="1132"/>
        </w:tabs>
        <w:spacing w:after="0"/>
        <w:ind w:firstLine="720"/>
        <w:jc w:val="both"/>
      </w:pPr>
      <w:r w:rsidRPr="005F30A2">
        <w:rPr>
          <w:rStyle w:val="TijelotekstaChar"/>
        </w:rPr>
        <w:t>comprobante de pago de la tasa administrativa</w:t>
      </w:r>
    </w:p>
    <w:p w14:paraId="714BC18C" w14:textId="5D983FE9" w:rsidR="00052469" w:rsidRPr="005F30A2" w:rsidRDefault="00B47B10">
      <w:pPr>
        <w:pStyle w:val="Tijeloteksta"/>
        <w:numPr>
          <w:ilvl w:val="0"/>
          <w:numId w:val="7"/>
        </w:numPr>
        <w:tabs>
          <w:tab w:val="left" w:pos="1137"/>
        </w:tabs>
        <w:spacing w:after="460" w:line="254" w:lineRule="auto"/>
        <w:ind w:left="720" w:firstLine="20"/>
        <w:contextualSpacing/>
        <w:jc w:val="both"/>
        <w:rPr>
          <w:rStyle w:val="TijelotekstaChar"/>
        </w:rPr>
      </w:pPr>
      <w:r w:rsidRPr="005F30A2">
        <w:rPr>
          <w:rStyle w:val="TijelotekstaChar"/>
        </w:rPr>
        <w:t xml:space="preserve">declaración por la que el solicitante que es encuentra en el extranjero nombra a un apoderado para recibir la documentación, residente en la República de Croacia, en los casos si no cuenta con </w:t>
      </w:r>
      <w:r w:rsidR="005F30A2" w:rsidRPr="005F30A2">
        <w:rPr>
          <w:rStyle w:val="TijelotekstaChar"/>
        </w:rPr>
        <w:t>un</w:t>
      </w:r>
      <w:r w:rsidRPr="005F30A2">
        <w:rPr>
          <w:rStyle w:val="TijelotekstaChar"/>
        </w:rPr>
        <w:t xml:space="preserve"> poder de representar</w:t>
      </w:r>
      <w:r w:rsidRPr="005F30A2">
        <w:rPr>
          <w:rStyle w:val="TijelotekstaChar"/>
          <w:rFonts w:ascii="Calibri" w:hAnsi="Calibri"/>
        </w:rPr>
        <w:t>.</w:t>
      </w:r>
    </w:p>
    <w:p w14:paraId="1B07AB1F" w14:textId="77777777" w:rsidR="005F30A2" w:rsidRPr="005F30A2" w:rsidRDefault="005F30A2" w:rsidP="005F30A2">
      <w:pPr>
        <w:pStyle w:val="Tijeloteksta"/>
        <w:tabs>
          <w:tab w:val="left" w:pos="1137"/>
        </w:tabs>
        <w:spacing w:after="460" w:line="254" w:lineRule="auto"/>
        <w:ind w:left="740"/>
        <w:contextualSpacing/>
        <w:jc w:val="both"/>
      </w:pPr>
    </w:p>
    <w:p w14:paraId="024D040F" w14:textId="77777777" w:rsidR="00052469" w:rsidRPr="005F30A2" w:rsidRDefault="00B47B10">
      <w:pPr>
        <w:pStyle w:val="Tijeloteksta"/>
        <w:numPr>
          <w:ilvl w:val="0"/>
          <w:numId w:val="6"/>
        </w:numPr>
        <w:tabs>
          <w:tab w:val="left" w:pos="407"/>
        </w:tabs>
        <w:spacing w:after="580"/>
        <w:contextualSpacing/>
        <w:jc w:val="both"/>
      </w:pPr>
      <w:r w:rsidRPr="005F30A2">
        <w:rPr>
          <w:rStyle w:val="TijelotekstaChar"/>
        </w:rPr>
        <w:t>En caso de duda razonable en la autenticidad de la documentación a que se hace referencia en el apartado 2 de este artículo, el CPM puede reclamar de las autoridades competentes la verificación de la autenticidad de las pruebas y de la acreditación de centros de enseñanza superior y de los programas de capacitación mediante la Agencia de la ciencia y de enseñanza superior de la Oficina ENIC/NARIC. La verificación puede realizarse también a través el Sistema de Información del Mercado Interior (en adelante: el sistema IMI), de acuerdo a las disposiciones de la Ley de profesiones reguladas y de reconocimiento de cualificaciones profesionales extranjeras.</w:t>
      </w:r>
    </w:p>
    <w:p w14:paraId="5FA17203" w14:textId="77777777" w:rsidR="00052469" w:rsidRPr="005F30A2" w:rsidRDefault="00B47B10">
      <w:pPr>
        <w:pStyle w:val="Tijeloteksta"/>
        <w:jc w:val="center"/>
      </w:pPr>
      <w:r w:rsidRPr="005F30A2">
        <w:rPr>
          <w:rStyle w:val="TijelotekstaChar"/>
        </w:rPr>
        <w:t>Artículo 8</w:t>
      </w:r>
    </w:p>
    <w:p w14:paraId="4F9FD0A2" w14:textId="77777777" w:rsidR="00052469" w:rsidRPr="005F30A2" w:rsidRDefault="00B47B10">
      <w:pPr>
        <w:pStyle w:val="Tijeloteksta"/>
        <w:numPr>
          <w:ilvl w:val="0"/>
          <w:numId w:val="11"/>
        </w:numPr>
        <w:tabs>
          <w:tab w:val="left" w:pos="402"/>
        </w:tabs>
        <w:jc w:val="both"/>
      </w:pPr>
      <w:r w:rsidRPr="005F30A2">
        <w:rPr>
          <w:rStyle w:val="TijelotekstaChar"/>
        </w:rPr>
        <w:t>Dentro de un mes desde el recibo de la solicitud a que se hace referencia en el artículo 7 de este Reglamento, el CPM debe confirmar su recibo al solicitante.</w:t>
      </w:r>
    </w:p>
    <w:p w14:paraId="4113A4C7" w14:textId="77777777" w:rsidR="00052469" w:rsidRPr="005F30A2" w:rsidRDefault="00B47B10">
      <w:pPr>
        <w:pStyle w:val="Tijeloteksta"/>
        <w:numPr>
          <w:ilvl w:val="0"/>
          <w:numId w:val="11"/>
        </w:numPr>
        <w:tabs>
          <w:tab w:val="left" w:pos="402"/>
        </w:tabs>
        <w:jc w:val="both"/>
      </w:pPr>
      <w:r w:rsidRPr="005F30A2">
        <w:rPr>
          <w:rStyle w:val="TijelotekstaChar"/>
        </w:rPr>
        <w:t>Si la solicitud es incompleta, o contiene una deficiencia que impida dar curso a la solicitud, dentro de 15 días desde el recibo de tal solicitud la autoridad competente invitará al solicitante de completarla dentro de 90 días.</w:t>
      </w:r>
    </w:p>
    <w:p w14:paraId="29A53C8A" w14:textId="77777777" w:rsidR="00052469" w:rsidRPr="005F30A2" w:rsidRDefault="00B47B10">
      <w:pPr>
        <w:pStyle w:val="Tijeloteksta"/>
        <w:numPr>
          <w:ilvl w:val="0"/>
          <w:numId w:val="11"/>
        </w:numPr>
        <w:tabs>
          <w:tab w:val="left" w:pos="402"/>
        </w:tabs>
        <w:jc w:val="both"/>
      </w:pPr>
      <w:r w:rsidRPr="005F30A2">
        <w:rPr>
          <w:rStyle w:val="TijelotekstaChar"/>
        </w:rPr>
        <w:t>Si el solicitante no satisface a la invitación, y es imposible dar curso a la solicitud, la autoridad competente rechazará la solicitud como incompleta.</w:t>
      </w:r>
    </w:p>
    <w:p w14:paraId="4310303B" w14:textId="77777777" w:rsidR="00052469" w:rsidRPr="005F30A2" w:rsidRDefault="00B47B10">
      <w:pPr>
        <w:pStyle w:val="Tijeloteksta"/>
        <w:numPr>
          <w:ilvl w:val="0"/>
          <w:numId w:val="11"/>
        </w:numPr>
        <w:tabs>
          <w:tab w:val="left" w:pos="402"/>
        </w:tabs>
        <w:spacing w:after="580"/>
        <w:jc w:val="both"/>
      </w:pPr>
      <w:r w:rsidRPr="005F30A2">
        <w:rPr>
          <w:rStyle w:val="TijelotekstaChar"/>
        </w:rPr>
        <w:t>Contra la decisión a que se hace referencia en el apartado 3 de este artículo puede interponerse un recurso al ministerio competente de salud. El recurso se interpone dentro de 15 días desde el recibo del ejemplar escrito de la decisión.</w:t>
      </w:r>
    </w:p>
    <w:p w14:paraId="5F1726D1" w14:textId="77777777" w:rsidR="00052469" w:rsidRPr="005F30A2" w:rsidRDefault="00B47B10">
      <w:pPr>
        <w:pStyle w:val="Tijeloteksta"/>
        <w:jc w:val="center"/>
      </w:pPr>
      <w:r w:rsidRPr="005F30A2">
        <w:rPr>
          <w:rStyle w:val="TijelotekstaChar"/>
        </w:rPr>
        <w:t>Artículo 9</w:t>
      </w:r>
    </w:p>
    <w:p w14:paraId="16390289" w14:textId="77777777" w:rsidR="00052469" w:rsidRPr="005F30A2" w:rsidRDefault="00B47B10">
      <w:pPr>
        <w:pStyle w:val="Tijeloteksta"/>
        <w:numPr>
          <w:ilvl w:val="0"/>
          <w:numId w:val="12"/>
        </w:numPr>
        <w:tabs>
          <w:tab w:val="left" w:pos="393"/>
        </w:tabs>
        <w:jc w:val="both"/>
      </w:pPr>
      <w:r w:rsidRPr="005F30A2">
        <w:rPr>
          <w:rStyle w:val="TijelotekstaChar"/>
        </w:rPr>
        <w:t>El procedimiento se toma por iniciado en el momento de entrega de la solicitud correcta al CPM.</w:t>
      </w:r>
      <w:r w:rsidRPr="005F30A2">
        <w:br w:type="page"/>
      </w:r>
    </w:p>
    <w:p w14:paraId="2422F6BF" w14:textId="77777777" w:rsidR="00052469" w:rsidRPr="005F30A2" w:rsidRDefault="00B47B10">
      <w:pPr>
        <w:pStyle w:val="Tijeloteksta"/>
        <w:numPr>
          <w:ilvl w:val="0"/>
          <w:numId w:val="12"/>
        </w:numPr>
        <w:tabs>
          <w:tab w:val="left" w:pos="380"/>
        </w:tabs>
        <w:jc w:val="both"/>
        <w:rPr>
          <w:sz w:val="20"/>
          <w:szCs w:val="20"/>
        </w:rPr>
      </w:pPr>
      <w:r w:rsidRPr="005F30A2">
        <w:rPr>
          <w:rStyle w:val="TijelotekstaChar"/>
          <w:sz w:val="20"/>
          <w:szCs w:val="20"/>
        </w:rPr>
        <w:lastRenderedPageBreak/>
        <w:t>Si la solicitud es acompañada de la documentación, dentro del procedimiento de reconocimiento de la cualificación profesional extranjera se evalúa la documentación remitida y se compara la documentación pertinente relativa a la cualificación profesional del solicitante son las cualificaciones profesionales previstas en la República de Croacia para ejercer la profesión regulada del médico.</w:t>
      </w:r>
    </w:p>
    <w:p w14:paraId="6C60C0F8" w14:textId="77777777" w:rsidR="00052469" w:rsidRPr="005F30A2" w:rsidRDefault="00B47B10">
      <w:pPr>
        <w:pStyle w:val="Tijeloteksta"/>
        <w:numPr>
          <w:ilvl w:val="0"/>
          <w:numId w:val="12"/>
        </w:numPr>
        <w:tabs>
          <w:tab w:val="left" w:pos="380"/>
        </w:tabs>
        <w:jc w:val="both"/>
        <w:rPr>
          <w:sz w:val="20"/>
          <w:szCs w:val="20"/>
        </w:rPr>
      </w:pPr>
      <w:r w:rsidRPr="005F30A2">
        <w:rPr>
          <w:rStyle w:val="TijelotekstaChar"/>
          <w:sz w:val="20"/>
          <w:szCs w:val="20"/>
        </w:rPr>
        <w:t>La comparación de la documentación pertinente se refiere a la comparación de los programas de estudios en vigor en la República de Croacia.</w:t>
      </w:r>
    </w:p>
    <w:p w14:paraId="56D7E427" w14:textId="77777777" w:rsidR="00052469" w:rsidRPr="005F30A2" w:rsidRDefault="00B47B10">
      <w:pPr>
        <w:pStyle w:val="Tijeloteksta"/>
        <w:numPr>
          <w:ilvl w:val="0"/>
          <w:numId w:val="12"/>
        </w:numPr>
        <w:tabs>
          <w:tab w:val="left" w:pos="380"/>
        </w:tabs>
        <w:jc w:val="both"/>
        <w:rPr>
          <w:sz w:val="20"/>
          <w:szCs w:val="20"/>
        </w:rPr>
      </w:pPr>
      <w:r w:rsidRPr="005F30A2">
        <w:rPr>
          <w:rStyle w:val="TijelotekstaChar"/>
          <w:sz w:val="20"/>
          <w:szCs w:val="20"/>
        </w:rPr>
        <w:t>La comparación a que se hace referencia en el apartado 3 de este artículo se realiza sobre la base de la evaluación profesional obligatoria de los programas de estudios hecha por los expertos competentes quienes, dentro de su actividad principal, se dedican a la formación, es decir a la capacitación de los profesionales de la profesión regulada del médico en la República de Croacia, o quienes han participado en la creación de los programas de formación, es decir a la capacitación de los profesionales de la profesión regulada en cuestión en la República de Croacia.</w:t>
      </w:r>
    </w:p>
    <w:p w14:paraId="335881F6" w14:textId="77777777" w:rsidR="00052469" w:rsidRPr="005F30A2" w:rsidRDefault="00B47B10">
      <w:pPr>
        <w:pStyle w:val="Tijeloteksta"/>
        <w:numPr>
          <w:ilvl w:val="0"/>
          <w:numId w:val="12"/>
        </w:numPr>
        <w:tabs>
          <w:tab w:val="left" w:pos="380"/>
        </w:tabs>
        <w:jc w:val="both"/>
        <w:rPr>
          <w:sz w:val="20"/>
          <w:szCs w:val="20"/>
        </w:rPr>
      </w:pPr>
      <w:r w:rsidRPr="005F30A2">
        <w:rPr>
          <w:rStyle w:val="TijelotekstaChar"/>
          <w:sz w:val="20"/>
          <w:szCs w:val="20"/>
        </w:rPr>
        <w:t>Los expertos de evaluación de los programas de estudios son designados por el CPM, de la lista de expertos nombrados por los decanos de las facultades de medicina de la en la República de Croacia. El experto de evaluación de los programas de estudios tiene derecho a una remuneración para su trabajo, de acuerdo a la decisión especial del Comité ejecutivo del CPM.</w:t>
      </w:r>
    </w:p>
    <w:p w14:paraId="657E9361" w14:textId="77777777" w:rsidR="00052469" w:rsidRPr="005F30A2" w:rsidRDefault="00B47B10">
      <w:pPr>
        <w:pStyle w:val="Tijeloteksta"/>
        <w:numPr>
          <w:ilvl w:val="0"/>
          <w:numId w:val="12"/>
        </w:numPr>
        <w:tabs>
          <w:tab w:val="left" w:pos="375"/>
        </w:tabs>
        <w:jc w:val="both"/>
        <w:rPr>
          <w:sz w:val="20"/>
          <w:szCs w:val="20"/>
        </w:rPr>
      </w:pPr>
      <w:r w:rsidRPr="005F30A2">
        <w:rPr>
          <w:rStyle w:val="TijelotekstaChar"/>
          <w:sz w:val="20"/>
          <w:szCs w:val="20"/>
        </w:rPr>
        <w:t>La evaluación profesional obligatoria de los programas de estudios a que se hace referencia en el apartado 4 de este artículo no excluye la posibilidad de deber obtener la segunda opinión o de varias opiniones de expertos competentes.</w:t>
      </w:r>
    </w:p>
    <w:p w14:paraId="43E8E859" w14:textId="77777777" w:rsidR="00052469" w:rsidRPr="005F30A2" w:rsidRDefault="00B47B10">
      <w:pPr>
        <w:pStyle w:val="Tijeloteksta"/>
        <w:numPr>
          <w:ilvl w:val="0"/>
          <w:numId w:val="12"/>
        </w:numPr>
        <w:tabs>
          <w:tab w:val="left" w:pos="375"/>
        </w:tabs>
        <w:jc w:val="both"/>
        <w:rPr>
          <w:sz w:val="20"/>
          <w:szCs w:val="20"/>
        </w:rPr>
      </w:pPr>
      <w:r w:rsidRPr="005F30A2">
        <w:rPr>
          <w:rStyle w:val="TijelotekstaChar"/>
          <w:sz w:val="20"/>
          <w:szCs w:val="20"/>
        </w:rPr>
        <w:t>Los expertos competentes a quienes se hace referencia en los apartados 5 y 6 de este artículo deben remitir su evaluación profesional de los programas de estudios dentro de 15 días desde que la evaluación haya sido solicitada.</w:t>
      </w:r>
    </w:p>
    <w:p w14:paraId="59267EB0" w14:textId="77777777" w:rsidR="00052469" w:rsidRPr="005F30A2" w:rsidRDefault="00B47B10">
      <w:pPr>
        <w:pStyle w:val="Tijeloteksta"/>
        <w:numPr>
          <w:ilvl w:val="0"/>
          <w:numId w:val="12"/>
        </w:numPr>
        <w:tabs>
          <w:tab w:val="left" w:pos="370"/>
        </w:tabs>
        <w:jc w:val="both"/>
        <w:rPr>
          <w:sz w:val="20"/>
          <w:szCs w:val="20"/>
        </w:rPr>
      </w:pPr>
      <w:r w:rsidRPr="005F30A2">
        <w:rPr>
          <w:rStyle w:val="TijelotekstaChar"/>
          <w:sz w:val="20"/>
          <w:szCs w:val="20"/>
        </w:rPr>
        <w:t>La evaluación profesional y la opinión de expertos no son vinculantes.</w:t>
      </w:r>
    </w:p>
    <w:p w14:paraId="34D71668" w14:textId="77777777" w:rsidR="00052469" w:rsidRPr="005F30A2" w:rsidRDefault="00B47B10">
      <w:pPr>
        <w:pStyle w:val="Tijeloteksta"/>
        <w:jc w:val="center"/>
        <w:rPr>
          <w:sz w:val="20"/>
          <w:szCs w:val="20"/>
        </w:rPr>
      </w:pPr>
      <w:r w:rsidRPr="005F30A2">
        <w:rPr>
          <w:rStyle w:val="TijelotekstaChar"/>
          <w:sz w:val="20"/>
          <w:szCs w:val="20"/>
        </w:rPr>
        <w:t>Artículo 10</w:t>
      </w:r>
    </w:p>
    <w:p w14:paraId="3A835FE9" w14:textId="77777777" w:rsidR="00052469" w:rsidRPr="005F30A2" w:rsidRDefault="00B47B10">
      <w:pPr>
        <w:pStyle w:val="Tijeloteksta"/>
        <w:numPr>
          <w:ilvl w:val="0"/>
          <w:numId w:val="13"/>
        </w:numPr>
        <w:tabs>
          <w:tab w:val="left" w:pos="380"/>
        </w:tabs>
        <w:jc w:val="both"/>
        <w:rPr>
          <w:sz w:val="20"/>
          <w:szCs w:val="20"/>
        </w:rPr>
      </w:pPr>
      <w:r w:rsidRPr="005F30A2">
        <w:rPr>
          <w:rStyle w:val="TijelotekstaChar"/>
          <w:sz w:val="20"/>
          <w:szCs w:val="20"/>
        </w:rPr>
        <w:t>Si durante la evaluación y la comparación de la documentación a que se hace referencia en el artículo 9 de este Reglamento se llega a la conclusión que el programa de estudios, es decir que la documentación de las cualificaciones profesionales del solicitante son equivalentes a las cualificaciones profesionales previstas en la República de Croacia para ejercer la profesión regulada del médico, el CPM tomará la decisión de reconocimiento de cualificación profesional extranjera, si el solicitante cumple con todos otros requisitos previstos por la Ley de profesiones reguladas y de reconocimiento de cualificaciones profesionales extranjeras.</w:t>
      </w:r>
    </w:p>
    <w:p w14:paraId="5D033619" w14:textId="77777777" w:rsidR="00052469" w:rsidRPr="005F30A2" w:rsidRDefault="00B47B10">
      <w:pPr>
        <w:pStyle w:val="Tijeloteksta"/>
        <w:numPr>
          <w:ilvl w:val="0"/>
          <w:numId w:val="13"/>
        </w:numPr>
        <w:tabs>
          <w:tab w:val="left" w:pos="380"/>
        </w:tabs>
        <w:jc w:val="both"/>
        <w:rPr>
          <w:sz w:val="20"/>
          <w:szCs w:val="20"/>
        </w:rPr>
      </w:pPr>
      <w:r w:rsidRPr="005F30A2">
        <w:rPr>
          <w:rStyle w:val="TijelotekstaChar"/>
          <w:sz w:val="20"/>
          <w:szCs w:val="20"/>
        </w:rPr>
        <w:t>La equivalencia del programa de estudios implica que el programa de estudios cuenta con el contenido de materias equivalente y que la diferencia del número de horas no supera 20% en comparación con el menor número de horas de la misma materia en los programas de estudios válidos en la República de Croacia.</w:t>
      </w:r>
    </w:p>
    <w:p w14:paraId="5F3F4FB9" w14:textId="77777777" w:rsidR="00052469" w:rsidRPr="005F30A2" w:rsidRDefault="00B47B10">
      <w:pPr>
        <w:pStyle w:val="Tijeloteksta"/>
        <w:numPr>
          <w:ilvl w:val="0"/>
          <w:numId w:val="13"/>
        </w:numPr>
        <w:tabs>
          <w:tab w:val="left" w:pos="380"/>
        </w:tabs>
        <w:jc w:val="both"/>
      </w:pPr>
      <w:r w:rsidRPr="005F30A2">
        <w:rPr>
          <w:rStyle w:val="TijelotekstaChar"/>
          <w:sz w:val="20"/>
          <w:szCs w:val="20"/>
        </w:rPr>
        <w:t>Contra la decisión a que se hace referencia en el apartado 1 de este artículo puede interponerse un recurso al ministerio competente de salud. El recurso se interpone dentro de 15 días desde el recibo del ejemplar escrito de la decisión</w:t>
      </w:r>
      <w:r w:rsidRPr="005F30A2">
        <w:rPr>
          <w:rStyle w:val="TijelotekstaChar"/>
        </w:rPr>
        <w:t>.</w:t>
      </w:r>
      <w:r w:rsidRPr="005F30A2">
        <w:br w:type="page"/>
      </w:r>
    </w:p>
    <w:p w14:paraId="1AE2429A" w14:textId="77777777" w:rsidR="00052469" w:rsidRPr="005F30A2" w:rsidRDefault="00B47B10">
      <w:pPr>
        <w:pStyle w:val="Tijeloteksta"/>
        <w:jc w:val="center"/>
        <w:rPr>
          <w:sz w:val="20"/>
          <w:szCs w:val="20"/>
        </w:rPr>
      </w:pPr>
      <w:r w:rsidRPr="005F30A2">
        <w:rPr>
          <w:rStyle w:val="TijelotekstaChar"/>
          <w:sz w:val="20"/>
          <w:szCs w:val="20"/>
        </w:rPr>
        <w:lastRenderedPageBreak/>
        <w:t>Artículo 11</w:t>
      </w:r>
    </w:p>
    <w:p w14:paraId="7521D1FA" w14:textId="77777777" w:rsidR="00052469" w:rsidRPr="005F30A2" w:rsidRDefault="00B47B10">
      <w:pPr>
        <w:pStyle w:val="Tijeloteksta"/>
        <w:spacing w:after="580"/>
        <w:jc w:val="both"/>
        <w:rPr>
          <w:sz w:val="20"/>
          <w:szCs w:val="20"/>
        </w:rPr>
      </w:pPr>
      <w:r w:rsidRPr="005F30A2">
        <w:rPr>
          <w:rStyle w:val="TijelotekstaChar"/>
          <w:sz w:val="20"/>
          <w:szCs w:val="20"/>
        </w:rPr>
        <w:t>La comparación de un programa de estudios realizada una vez en general es válida para todos otros casos futuros de reconocimiento de las mismas calificaciones profesionales.</w:t>
      </w:r>
    </w:p>
    <w:p w14:paraId="2D816154" w14:textId="77777777" w:rsidR="00052469" w:rsidRPr="005F30A2" w:rsidRDefault="00B47B10">
      <w:pPr>
        <w:pStyle w:val="Tijeloteksta"/>
        <w:jc w:val="center"/>
        <w:rPr>
          <w:sz w:val="20"/>
          <w:szCs w:val="20"/>
        </w:rPr>
      </w:pPr>
      <w:r w:rsidRPr="005F30A2">
        <w:rPr>
          <w:rStyle w:val="TijelotekstaChar"/>
          <w:sz w:val="20"/>
          <w:szCs w:val="20"/>
        </w:rPr>
        <w:t>Artículo 12</w:t>
      </w:r>
    </w:p>
    <w:p w14:paraId="577F9095" w14:textId="77777777" w:rsidR="00052469" w:rsidRPr="005F30A2" w:rsidRDefault="00B47B10">
      <w:pPr>
        <w:pStyle w:val="Tijeloteksta"/>
        <w:numPr>
          <w:ilvl w:val="0"/>
          <w:numId w:val="14"/>
        </w:numPr>
        <w:tabs>
          <w:tab w:val="left" w:pos="380"/>
        </w:tabs>
        <w:jc w:val="both"/>
        <w:rPr>
          <w:sz w:val="20"/>
          <w:szCs w:val="20"/>
        </w:rPr>
      </w:pPr>
      <w:r w:rsidRPr="005F30A2">
        <w:rPr>
          <w:rStyle w:val="TijelotekstaChar"/>
          <w:sz w:val="20"/>
          <w:szCs w:val="20"/>
        </w:rPr>
        <w:t>Si durante la evaluación y la comparación dela documentación a que se hace referencia en el artículo 9 del presente Reglamento el experto ha llegado a concluir a la diferencia del programa de estudios, el CMP, sobre la base del conjunto de la documentación adjunta a la solicitud y aplicando el principio de proporcionalidad, procederá a la evaluación y determinará si las competencias obtenidas por el solicitante en el Estado Miembro o en el tercer país durante su experiencia profesional o dentro de la formación permanente son de tal naturaleza que abarquen total o parcialmente el contenido sustancialmente diferente, es decir el contenido de capacitación y las competencias obtenidas siendo determinantes para el ejercicio de la profesión, y que no sean comprendidas por las pruebas del solicitante relativas a su cualificación académica o profesional.</w:t>
      </w:r>
    </w:p>
    <w:p w14:paraId="53DA7F64" w14:textId="77777777" w:rsidR="00052469" w:rsidRPr="005F30A2" w:rsidRDefault="00B47B10">
      <w:pPr>
        <w:pStyle w:val="Tijeloteksta"/>
        <w:numPr>
          <w:ilvl w:val="0"/>
          <w:numId w:val="14"/>
        </w:numPr>
        <w:tabs>
          <w:tab w:val="left" w:pos="385"/>
        </w:tabs>
        <w:jc w:val="both"/>
        <w:rPr>
          <w:sz w:val="20"/>
          <w:szCs w:val="20"/>
        </w:rPr>
      </w:pPr>
      <w:r w:rsidRPr="005F30A2">
        <w:rPr>
          <w:rStyle w:val="TijelotekstaChar"/>
          <w:sz w:val="20"/>
          <w:szCs w:val="20"/>
        </w:rPr>
        <w:t>Si, aplicado el principio de proporcionalidad, se llega a la conclusión que la capacitación del solicitante no cuenta con diferencias significativas en cuanto a su duración o los áreas de capacitación cubiertas previstas en la República de Croacia como requisito de ejercer la profesión regulada del médico, el CPM tomará la decisión favorable de reconocimiento de cualificación profesional extranjera si el solicitante cumple con todos otros requisitos previstos por la Ley de profesiones reguladas y de reconocimiento de cualificaciones profesionales extranjeras.</w:t>
      </w:r>
    </w:p>
    <w:p w14:paraId="00560250" w14:textId="77777777" w:rsidR="00052469" w:rsidRPr="005F30A2" w:rsidRDefault="00B47B10">
      <w:pPr>
        <w:pStyle w:val="Tijeloteksta"/>
        <w:numPr>
          <w:ilvl w:val="0"/>
          <w:numId w:val="14"/>
        </w:numPr>
        <w:tabs>
          <w:tab w:val="left" w:pos="380"/>
        </w:tabs>
        <w:jc w:val="both"/>
        <w:rPr>
          <w:sz w:val="20"/>
          <w:szCs w:val="20"/>
        </w:rPr>
      </w:pPr>
      <w:r w:rsidRPr="005F30A2">
        <w:rPr>
          <w:rStyle w:val="TijelotekstaChar"/>
          <w:sz w:val="20"/>
          <w:szCs w:val="20"/>
        </w:rPr>
        <w:t>Contra la decisión a que se hace referencia en el apartado 2 de este artículo puede interponerse un recurso al ministerio competente de salud. El recurso se interpone dentro de 15 días desde el recibo del ejemplar escrito de la decisión.</w:t>
      </w:r>
    </w:p>
    <w:p w14:paraId="7EA36883" w14:textId="77777777" w:rsidR="00052469" w:rsidRPr="005F30A2" w:rsidRDefault="00B47B10">
      <w:pPr>
        <w:pStyle w:val="Tijeloteksta"/>
        <w:jc w:val="center"/>
        <w:rPr>
          <w:sz w:val="20"/>
          <w:szCs w:val="20"/>
        </w:rPr>
      </w:pPr>
      <w:r w:rsidRPr="005F30A2">
        <w:rPr>
          <w:rStyle w:val="TijelotekstaChar"/>
          <w:sz w:val="20"/>
          <w:szCs w:val="20"/>
        </w:rPr>
        <w:t>Artículo 13</w:t>
      </w:r>
    </w:p>
    <w:p w14:paraId="5DED654C" w14:textId="77777777" w:rsidR="00052469" w:rsidRPr="005F30A2" w:rsidRDefault="00B47B10">
      <w:pPr>
        <w:pStyle w:val="Tijeloteksta"/>
        <w:numPr>
          <w:ilvl w:val="0"/>
          <w:numId w:val="15"/>
        </w:numPr>
        <w:tabs>
          <w:tab w:val="left" w:pos="380"/>
        </w:tabs>
        <w:jc w:val="both"/>
        <w:rPr>
          <w:sz w:val="20"/>
          <w:szCs w:val="20"/>
        </w:rPr>
      </w:pPr>
      <w:r w:rsidRPr="005F30A2">
        <w:rPr>
          <w:rStyle w:val="TijelotekstaChar"/>
          <w:sz w:val="20"/>
          <w:szCs w:val="20"/>
        </w:rPr>
        <w:t xml:space="preserve">Si, aplicado el principio de proporcionalidad, se llega a la conclusión que la capacitación del solicitante cuenta con diferencias significativas en cuanto a su duración o los áreas de capacitación cubiertas previstas en la República de Croacia como requisito de ejercer la profesión regulada del médico, y son determinantes para ejercer la profesión, el CPM tomará la decisión invitando al solicitante de elegir una de las medidas complementarias propuestas. </w:t>
      </w:r>
    </w:p>
    <w:p w14:paraId="7753F8A3" w14:textId="77777777" w:rsidR="00052469" w:rsidRPr="005F30A2" w:rsidRDefault="00B47B10">
      <w:pPr>
        <w:pStyle w:val="Tijeloteksta"/>
        <w:numPr>
          <w:ilvl w:val="0"/>
          <w:numId w:val="15"/>
        </w:numPr>
        <w:tabs>
          <w:tab w:val="left" w:pos="370"/>
        </w:tabs>
        <w:spacing w:after="0"/>
        <w:jc w:val="both"/>
        <w:rPr>
          <w:sz w:val="20"/>
          <w:szCs w:val="20"/>
        </w:rPr>
      </w:pPr>
      <w:r w:rsidRPr="005F30A2">
        <w:rPr>
          <w:rStyle w:val="TijelotekstaChar"/>
          <w:sz w:val="20"/>
          <w:szCs w:val="20"/>
        </w:rPr>
        <w:t>El solicitante puede optar por una de las medidas complementarias siguientes:</w:t>
      </w:r>
    </w:p>
    <w:p w14:paraId="6B7671DC" w14:textId="77777777" w:rsidR="00052469" w:rsidRPr="005F30A2" w:rsidRDefault="00B47B10">
      <w:pPr>
        <w:pStyle w:val="Tijeloteksta"/>
        <w:numPr>
          <w:ilvl w:val="0"/>
          <w:numId w:val="16"/>
        </w:numPr>
        <w:tabs>
          <w:tab w:val="left" w:pos="735"/>
        </w:tabs>
        <w:spacing w:after="0"/>
        <w:ind w:firstLine="380"/>
        <w:jc w:val="both"/>
        <w:rPr>
          <w:sz w:val="20"/>
          <w:szCs w:val="20"/>
        </w:rPr>
      </w:pPr>
      <w:r w:rsidRPr="005F30A2">
        <w:rPr>
          <w:rStyle w:val="TijelotekstaChar"/>
          <w:sz w:val="20"/>
          <w:szCs w:val="20"/>
        </w:rPr>
        <w:t>someterse a una prueba de competencias de la profesión</w:t>
      </w:r>
    </w:p>
    <w:p w14:paraId="39FAED73" w14:textId="77777777" w:rsidR="00052469" w:rsidRPr="005F30A2" w:rsidRDefault="00B47B10">
      <w:pPr>
        <w:pStyle w:val="Tijeloteksta"/>
        <w:numPr>
          <w:ilvl w:val="0"/>
          <w:numId w:val="16"/>
        </w:numPr>
        <w:tabs>
          <w:tab w:val="left" w:pos="735"/>
        </w:tabs>
        <w:ind w:firstLine="380"/>
        <w:jc w:val="both"/>
        <w:rPr>
          <w:sz w:val="20"/>
          <w:szCs w:val="20"/>
        </w:rPr>
      </w:pPr>
      <w:r w:rsidRPr="005F30A2">
        <w:rPr>
          <w:rStyle w:val="TijelotekstaChar"/>
          <w:sz w:val="20"/>
          <w:szCs w:val="20"/>
        </w:rPr>
        <w:t>ejercer un período de prácticas hasta tres años,</w:t>
      </w:r>
    </w:p>
    <w:p w14:paraId="6A74173D" w14:textId="77777777" w:rsidR="00052469" w:rsidRPr="005F30A2" w:rsidRDefault="00B47B10">
      <w:pPr>
        <w:pStyle w:val="Tijeloteksta"/>
        <w:numPr>
          <w:ilvl w:val="0"/>
          <w:numId w:val="15"/>
        </w:numPr>
        <w:tabs>
          <w:tab w:val="left" w:pos="380"/>
        </w:tabs>
        <w:jc w:val="both"/>
        <w:rPr>
          <w:sz w:val="20"/>
          <w:szCs w:val="20"/>
        </w:rPr>
      </w:pPr>
      <w:r w:rsidRPr="005F30A2">
        <w:rPr>
          <w:rStyle w:val="TijelotekstaChar"/>
          <w:sz w:val="20"/>
          <w:szCs w:val="20"/>
        </w:rPr>
        <w:t>Dentro de 30 días desde la fecha de recepción de la conclusión informándole de la medida complementaria, el solicitante debe pronunciarse sobre la medida complementaria escogida, así como de la facultad de medicina en la República de Croacia donde vaya a aplicarse la medida complementaria.</w:t>
      </w:r>
    </w:p>
    <w:p w14:paraId="02AC5D6D" w14:textId="77777777" w:rsidR="00052469" w:rsidRPr="005F30A2" w:rsidRDefault="00B47B10">
      <w:pPr>
        <w:pStyle w:val="Tijeloteksta"/>
        <w:numPr>
          <w:ilvl w:val="0"/>
          <w:numId w:val="15"/>
        </w:numPr>
        <w:tabs>
          <w:tab w:val="left" w:pos="380"/>
        </w:tabs>
        <w:jc w:val="both"/>
        <w:rPr>
          <w:sz w:val="20"/>
          <w:szCs w:val="20"/>
        </w:rPr>
      </w:pPr>
      <w:r w:rsidRPr="005F30A2">
        <w:rPr>
          <w:rStyle w:val="TijelotekstaChar"/>
          <w:sz w:val="20"/>
          <w:szCs w:val="20"/>
        </w:rPr>
        <w:t>Si el solicitante no se pronuncia sobre el tipo de la medida complementaria escogida, así como de la facultad de medicina en la República de Croacia donde vaya a aplicarse la medida complementaria ni a la solicitud del CPM, se considerará que ha renunciado a su solicitud y el procedimiento será suspendido.</w:t>
      </w:r>
      <w:r w:rsidRPr="005F30A2">
        <w:rPr>
          <w:sz w:val="20"/>
          <w:szCs w:val="20"/>
        </w:rPr>
        <w:br w:type="page"/>
      </w:r>
    </w:p>
    <w:p w14:paraId="2988BF0B" w14:textId="77777777" w:rsidR="00052469" w:rsidRPr="005F30A2" w:rsidRDefault="00B47B10">
      <w:pPr>
        <w:pStyle w:val="Tijeloteksta"/>
        <w:jc w:val="center"/>
        <w:rPr>
          <w:sz w:val="21"/>
          <w:szCs w:val="21"/>
        </w:rPr>
      </w:pPr>
      <w:r w:rsidRPr="005F30A2">
        <w:rPr>
          <w:rStyle w:val="TijelotekstaChar"/>
          <w:sz w:val="21"/>
          <w:szCs w:val="21"/>
        </w:rPr>
        <w:lastRenderedPageBreak/>
        <w:t>Artículo 14</w:t>
      </w:r>
    </w:p>
    <w:p w14:paraId="7E15D56C" w14:textId="77777777" w:rsidR="00052469" w:rsidRPr="005F30A2" w:rsidRDefault="00B47B10">
      <w:pPr>
        <w:pStyle w:val="Tijeloteksta"/>
        <w:numPr>
          <w:ilvl w:val="0"/>
          <w:numId w:val="17"/>
        </w:numPr>
        <w:tabs>
          <w:tab w:val="left" w:pos="380"/>
        </w:tabs>
        <w:jc w:val="both"/>
        <w:rPr>
          <w:sz w:val="21"/>
          <w:szCs w:val="21"/>
        </w:rPr>
      </w:pPr>
      <w:r w:rsidRPr="005F30A2">
        <w:rPr>
          <w:rStyle w:val="TijelotekstaChar"/>
          <w:sz w:val="21"/>
          <w:szCs w:val="21"/>
        </w:rPr>
        <w:t>La medida complementaria escogida, a que se hace referencia en el artículo 13 será objeto de una decisión provisional tomada dentro de 60 días desde la pronunciación del solicitante sobre la conclusión informándole de la medida complementaria. La decisión provisional determina las condiciones y el plazo de aplicación de la medida provisional, es decir los criterios de verificación del éxito de la medida complementaria.</w:t>
      </w:r>
    </w:p>
    <w:p w14:paraId="26A98B91" w14:textId="77777777" w:rsidR="00052469" w:rsidRPr="005F30A2" w:rsidRDefault="00B47B10">
      <w:pPr>
        <w:pStyle w:val="Tijeloteksta"/>
        <w:numPr>
          <w:ilvl w:val="0"/>
          <w:numId w:val="17"/>
        </w:numPr>
        <w:tabs>
          <w:tab w:val="left" w:pos="380"/>
        </w:tabs>
        <w:jc w:val="both"/>
        <w:rPr>
          <w:sz w:val="21"/>
          <w:szCs w:val="21"/>
        </w:rPr>
      </w:pPr>
      <w:r w:rsidRPr="005F30A2">
        <w:rPr>
          <w:rStyle w:val="TijelotekstaChar"/>
          <w:sz w:val="21"/>
          <w:szCs w:val="21"/>
        </w:rPr>
        <w:t>Contra la decisión a que se hace referencia en el apartado 1 de este artículo puede interponerse un recurso al ministerio competente de salud. El recurso se interpone dentro de 15 días desde el recibo del ejemplar escrito de la decisión.</w:t>
      </w:r>
    </w:p>
    <w:p w14:paraId="515C12EA" w14:textId="77777777" w:rsidR="00052469" w:rsidRPr="005F30A2" w:rsidRDefault="00B47B10">
      <w:pPr>
        <w:pStyle w:val="Tijeloteksta"/>
        <w:jc w:val="center"/>
        <w:rPr>
          <w:sz w:val="21"/>
          <w:szCs w:val="21"/>
        </w:rPr>
      </w:pPr>
      <w:r w:rsidRPr="005F30A2">
        <w:rPr>
          <w:rStyle w:val="TijelotekstaChar"/>
          <w:sz w:val="21"/>
          <w:szCs w:val="21"/>
        </w:rPr>
        <w:t>Artículo 15</w:t>
      </w:r>
    </w:p>
    <w:p w14:paraId="544E81A9" w14:textId="77777777" w:rsidR="00052469" w:rsidRPr="005F30A2" w:rsidRDefault="00B47B10">
      <w:pPr>
        <w:pStyle w:val="Tijeloteksta"/>
        <w:numPr>
          <w:ilvl w:val="0"/>
          <w:numId w:val="18"/>
        </w:numPr>
        <w:tabs>
          <w:tab w:val="left" w:pos="380"/>
        </w:tabs>
        <w:jc w:val="both"/>
        <w:rPr>
          <w:sz w:val="21"/>
          <w:szCs w:val="21"/>
        </w:rPr>
      </w:pPr>
      <w:r w:rsidRPr="005F30A2">
        <w:rPr>
          <w:rStyle w:val="TijelotekstaChar"/>
          <w:sz w:val="21"/>
          <w:szCs w:val="21"/>
        </w:rPr>
        <w:t>El solicitante quien escoge la medida de someterse a una prueba de competencias de la profesión debe, en la facultad de medicina en la República de Croacia a su elección, supera los cursos que permitan subsanar las carencias formativas advertidas, para poder ejercer la profesión regulada del médico de medicina en la República de Croacia.</w:t>
      </w:r>
    </w:p>
    <w:p w14:paraId="62D10463" w14:textId="77777777" w:rsidR="00052469" w:rsidRPr="005F30A2" w:rsidRDefault="00B47B10">
      <w:pPr>
        <w:pStyle w:val="Tijeloteksta"/>
        <w:numPr>
          <w:ilvl w:val="0"/>
          <w:numId w:val="18"/>
        </w:numPr>
        <w:tabs>
          <w:tab w:val="left" w:pos="380"/>
        </w:tabs>
        <w:jc w:val="both"/>
        <w:rPr>
          <w:sz w:val="21"/>
          <w:szCs w:val="21"/>
        </w:rPr>
      </w:pPr>
      <w:r w:rsidRPr="005F30A2">
        <w:rPr>
          <w:rStyle w:val="TijelotekstaChar"/>
          <w:sz w:val="21"/>
          <w:szCs w:val="21"/>
        </w:rPr>
        <w:t>La decisión provisional a que se hace referencia en el artículo 14 de este Reglamento determina un plazo de seis meses desde la fecha de la decisión dentro del que el solicitante debe presentarse por primera vez a las pruebas de competencias de las materias previstas por la medida complementaria.</w:t>
      </w:r>
    </w:p>
    <w:p w14:paraId="07A23B8F" w14:textId="77777777" w:rsidR="00052469" w:rsidRPr="005F30A2" w:rsidRDefault="00B47B10">
      <w:pPr>
        <w:pStyle w:val="Tijeloteksta"/>
        <w:numPr>
          <w:ilvl w:val="0"/>
          <w:numId w:val="18"/>
        </w:numPr>
        <w:tabs>
          <w:tab w:val="left" w:pos="380"/>
        </w:tabs>
        <w:spacing w:after="580"/>
        <w:jc w:val="both"/>
        <w:rPr>
          <w:sz w:val="21"/>
          <w:szCs w:val="21"/>
        </w:rPr>
      </w:pPr>
      <w:r w:rsidRPr="005F30A2">
        <w:rPr>
          <w:rStyle w:val="TijelotekstaChar"/>
          <w:sz w:val="21"/>
          <w:szCs w:val="21"/>
        </w:rPr>
        <w:t>La facultad de medicina elegida debe permitir al solicitante de presentarse por primera vez a todos los exámenes de materias previstas por la medida complementaria dentro de seis meses desde la fecha de la decisión provisional a la que se refiere el artículo 14 de este Reglamento.</w:t>
      </w:r>
    </w:p>
    <w:p w14:paraId="75D39E82" w14:textId="77777777" w:rsidR="00052469" w:rsidRPr="005F30A2" w:rsidRDefault="00B47B10">
      <w:pPr>
        <w:pStyle w:val="Tijeloteksta"/>
        <w:jc w:val="center"/>
        <w:rPr>
          <w:sz w:val="21"/>
          <w:szCs w:val="21"/>
        </w:rPr>
      </w:pPr>
      <w:r w:rsidRPr="005F30A2">
        <w:rPr>
          <w:rStyle w:val="TijelotekstaChar"/>
          <w:sz w:val="21"/>
          <w:szCs w:val="21"/>
        </w:rPr>
        <w:t>Artículo 16</w:t>
      </w:r>
    </w:p>
    <w:p w14:paraId="5274DEF5" w14:textId="77777777" w:rsidR="00052469" w:rsidRPr="005F30A2" w:rsidRDefault="00B47B10">
      <w:pPr>
        <w:pStyle w:val="Tijeloteksta"/>
        <w:numPr>
          <w:ilvl w:val="0"/>
          <w:numId w:val="19"/>
        </w:numPr>
        <w:tabs>
          <w:tab w:val="left" w:pos="380"/>
        </w:tabs>
        <w:jc w:val="both"/>
        <w:rPr>
          <w:sz w:val="21"/>
          <w:szCs w:val="21"/>
        </w:rPr>
      </w:pPr>
      <w:r w:rsidRPr="005F30A2">
        <w:rPr>
          <w:rStyle w:val="TijelotekstaChar"/>
          <w:sz w:val="21"/>
          <w:szCs w:val="21"/>
        </w:rPr>
        <w:t>Si dentro del plazo al que se refiere el artículo 15 de este Reglamento el solicitante no se presenta a los exámenes de prueba de competencias en la facultad de medicina escogida, y no presenta la prueba correspondiente al CPM, cuando éste lo exige, se considerará que ha renunciado a su solicitud y el procedimiento será suspendido.</w:t>
      </w:r>
    </w:p>
    <w:p w14:paraId="689A2F0C" w14:textId="77777777" w:rsidR="00052469" w:rsidRPr="005F30A2" w:rsidRDefault="00B47B10">
      <w:pPr>
        <w:pStyle w:val="Tijeloteksta"/>
        <w:numPr>
          <w:ilvl w:val="0"/>
          <w:numId w:val="19"/>
        </w:numPr>
        <w:tabs>
          <w:tab w:val="left" w:pos="385"/>
        </w:tabs>
        <w:jc w:val="both"/>
        <w:rPr>
          <w:sz w:val="21"/>
          <w:szCs w:val="21"/>
        </w:rPr>
      </w:pPr>
      <w:r w:rsidRPr="005F30A2">
        <w:rPr>
          <w:rStyle w:val="TijelotekstaChar"/>
          <w:sz w:val="21"/>
          <w:szCs w:val="21"/>
        </w:rPr>
        <w:t>Si el solicitante no supera el examen de prueba de competencias en su profesión, dentro de 15 días desde no haber superado el examen en la facultad de medicina elegida en la República de Croacia, puede presentar de nuevo su solicitud para presentarse de nuevo al examen de prueba de competencias y dentro de seis meses presentarse a los exámenes de prueba de conocimientos de las materias previstas en la medida complementaria.</w:t>
      </w:r>
    </w:p>
    <w:p w14:paraId="7E0BDB96" w14:textId="103C7D96" w:rsidR="00052469" w:rsidRPr="005F30A2" w:rsidRDefault="00B47B10">
      <w:pPr>
        <w:pStyle w:val="Tijeloteksta"/>
        <w:numPr>
          <w:ilvl w:val="0"/>
          <w:numId w:val="19"/>
        </w:numPr>
        <w:tabs>
          <w:tab w:val="left" w:pos="385"/>
        </w:tabs>
        <w:jc w:val="both"/>
        <w:rPr>
          <w:sz w:val="21"/>
          <w:szCs w:val="21"/>
        </w:rPr>
      </w:pPr>
      <w:r w:rsidRPr="005F30A2">
        <w:rPr>
          <w:rStyle w:val="TijelotekstaChar"/>
          <w:sz w:val="21"/>
          <w:szCs w:val="21"/>
        </w:rPr>
        <w:t>Si el solicitante no supera los exámenes de prueba de competencias a la segunda convocatoria de exámenes dentro de seis mese</w:t>
      </w:r>
      <w:r w:rsidR="005F30A2">
        <w:rPr>
          <w:rStyle w:val="TijelotekstaChar"/>
          <w:sz w:val="21"/>
          <w:szCs w:val="21"/>
        </w:rPr>
        <w:t>s</w:t>
      </w:r>
      <w:r w:rsidRPr="005F30A2">
        <w:rPr>
          <w:rStyle w:val="TijelotekstaChar"/>
          <w:sz w:val="21"/>
          <w:szCs w:val="21"/>
        </w:rPr>
        <w:t>, la siguiente medida complementaria que el CPM puede determinar es un periodo de prácticas que no puede superar cinco años desde la fecha de la decisión provisional a la que se refiere el artículo 14 de este Reglamento.</w:t>
      </w:r>
    </w:p>
    <w:p w14:paraId="27F40FD7" w14:textId="77777777" w:rsidR="00052469" w:rsidRPr="005F30A2" w:rsidRDefault="00B47B10">
      <w:pPr>
        <w:pStyle w:val="Tijeloteksta"/>
        <w:numPr>
          <w:ilvl w:val="0"/>
          <w:numId w:val="19"/>
        </w:numPr>
        <w:tabs>
          <w:tab w:val="left" w:pos="380"/>
        </w:tabs>
        <w:jc w:val="both"/>
      </w:pPr>
      <w:r w:rsidRPr="005F30A2">
        <w:rPr>
          <w:rStyle w:val="TijelotekstaChar"/>
          <w:sz w:val="21"/>
          <w:szCs w:val="21"/>
        </w:rPr>
        <w:t>Si el candidato no acepta la medida complementaria indicada en el apartado 3 de este artículo, el CPM tomará la decisión rechazando el reconocimiento de la cualificación profesional extranjera.</w:t>
      </w:r>
      <w:r w:rsidRPr="005F30A2">
        <w:rPr>
          <w:sz w:val="21"/>
          <w:szCs w:val="21"/>
        </w:rPr>
        <w:br w:type="page"/>
      </w:r>
    </w:p>
    <w:p w14:paraId="591078CE" w14:textId="77777777" w:rsidR="00052469" w:rsidRPr="005F30A2" w:rsidRDefault="00B47B10">
      <w:pPr>
        <w:pStyle w:val="Tijeloteksta"/>
        <w:numPr>
          <w:ilvl w:val="0"/>
          <w:numId w:val="19"/>
        </w:numPr>
        <w:tabs>
          <w:tab w:val="left" w:pos="397"/>
        </w:tabs>
        <w:spacing w:after="580"/>
        <w:jc w:val="both"/>
        <w:rPr>
          <w:sz w:val="20"/>
          <w:szCs w:val="20"/>
        </w:rPr>
      </w:pPr>
      <w:r w:rsidRPr="005F30A2">
        <w:rPr>
          <w:rStyle w:val="TijelotekstaChar"/>
          <w:sz w:val="20"/>
          <w:szCs w:val="20"/>
        </w:rPr>
        <w:lastRenderedPageBreak/>
        <w:t>Contra la decisión a que se hace referencia en el apartado 4 de este artículo puede interponerse un recurso al ministerio competente de salud. El recurso se interpone dentro de 15 días desde el recibo del ejemplar escrito de la decisión.</w:t>
      </w:r>
    </w:p>
    <w:p w14:paraId="67F75E89" w14:textId="77777777" w:rsidR="00052469" w:rsidRPr="005F30A2" w:rsidRDefault="00B47B10">
      <w:pPr>
        <w:pStyle w:val="Tijeloteksta"/>
        <w:jc w:val="center"/>
        <w:rPr>
          <w:sz w:val="20"/>
          <w:szCs w:val="20"/>
        </w:rPr>
      </w:pPr>
      <w:r w:rsidRPr="005F30A2">
        <w:rPr>
          <w:rStyle w:val="TijelotekstaChar"/>
          <w:sz w:val="20"/>
          <w:szCs w:val="20"/>
        </w:rPr>
        <w:t>Artículo 17</w:t>
      </w:r>
    </w:p>
    <w:p w14:paraId="17F29699" w14:textId="77777777" w:rsidR="00052469" w:rsidRPr="005F30A2" w:rsidRDefault="00B47B10">
      <w:pPr>
        <w:pStyle w:val="Tijeloteksta"/>
        <w:numPr>
          <w:ilvl w:val="0"/>
          <w:numId w:val="20"/>
        </w:numPr>
        <w:tabs>
          <w:tab w:val="left" w:pos="402"/>
        </w:tabs>
        <w:jc w:val="both"/>
        <w:rPr>
          <w:sz w:val="20"/>
          <w:szCs w:val="20"/>
        </w:rPr>
      </w:pPr>
      <w:r w:rsidRPr="005F30A2">
        <w:rPr>
          <w:rStyle w:val="TijelotekstaChar"/>
          <w:sz w:val="20"/>
          <w:szCs w:val="20"/>
        </w:rPr>
        <w:t>El solicitante quien escoge la medida del periodo de prácticas hasta tres años debe, en una de las facultades de medicina en la República de Croacia  a su elección, cursar las clases previstas por la medida complementaria, a tiempo definido por la facultad de medicina elegida y debe superar los exámenes de estas materias.</w:t>
      </w:r>
    </w:p>
    <w:p w14:paraId="5088237A" w14:textId="77777777" w:rsidR="00052469" w:rsidRPr="005F30A2" w:rsidRDefault="00B47B10">
      <w:pPr>
        <w:pStyle w:val="Tijeloteksta"/>
        <w:numPr>
          <w:ilvl w:val="0"/>
          <w:numId w:val="20"/>
        </w:numPr>
        <w:tabs>
          <w:tab w:val="left" w:pos="397"/>
        </w:tabs>
        <w:jc w:val="both"/>
        <w:rPr>
          <w:sz w:val="20"/>
          <w:szCs w:val="20"/>
        </w:rPr>
      </w:pPr>
      <w:r w:rsidRPr="005F30A2">
        <w:rPr>
          <w:rStyle w:val="TijelotekstaChar"/>
          <w:sz w:val="20"/>
          <w:szCs w:val="20"/>
        </w:rPr>
        <w:t>La facultad de medicina elegida asegurará que el solicitante curse las materias y se presente a los exámenes dentro de tres años desde la fecha de la decisión provisional.</w:t>
      </w:r>
    </w:p>
    <w:p w14:paraId="11C5EC7E" w14:textId="5A2C5CBD" w:rsidR="00052469" w:rsidRPr="005F30A2" w:rsidRDefault="00B47B10">
      <w:pPr>
        <w:pStyle w:val="Tijeloteksta"/>
        <w:numPr>
          <w:ilvl w:val="0"/>
          <w:numId w:val="20"/>
        </w:numPr>
        <w:tabs>
          <w:tab w:val="left" w:pos="392"/>
        </w:tabs>
        <w:jc w:val="both"/>
        <w:rPr>
          <w:sz w:val="20"/>
          <w:szCs w:val="20"/>
        </w:rPr>
      </w:pPr>
      <w:r w:rsidRPr="005F30A2">
        <w:rPr>
          <w:rStyle w:val="TijelotekstaChar"/>
          <w:sz w:val="20"/>
          <w:szCs w:val="20"/>
        </w:rPr>
        <w:t xml:space="preserve">Si el solicitante no cumple por completo la medida del período de prácticas indicada en el primer apartado de este </w:t>
      </w:r>
      <w:r w:rsidR="005F30A2" w:rsidRPr="005F30A2">
        <w:rPr>
          <w:rStyle w:val="TijelotekstaChar"/>
          <w:sz w:val="20"/>
          <w:szCs w:val="20"/>
        </w:rPr>
        <w:t>artículo</w:t>
      </w:r>
      <w:r w:rsidRPr="005F30A2">
        <w:rPr>
          <w:rStyle w:val="TijelotekstaChar"/>
          <w:sz w:val="20"/>
          <w:szCs w:val="20"/>
        </w:rPr>
        <w:t>, el CPM tomará la decisión rechazando el reconocimiento de la cualificación profesional extranjera.</w:t>
      </w:r>
    </w:p>
    <w:p w14:paraId="710E6A33" w14:textId="77777777" w:rsidR="00052469" w:rsidRPr="005F30A2" w:rsidRDefault="00B47B10">
      <w:pPr>
        <w:pStyle w:val="Tijeloteksta"/>
        <w:numPr>
          <w:ilvl w:val="0"/>
          <w:numId w:val="20"/>
        </w:numPr>
        <w:tabs>
          <w:tab w:val="left" w:pos="397"/>
        </w:tabs>
        <w:spacing w:after="580"/>
        <w:jc w:val="both"/>
        <w:rPr>
          <w:sz w:val="20"/>
          <w:szCs w:val="20"/>
        </w:rPr>
      </w:pPr>
      <w:r w:rsidRPr="005F30A2">
        <w:rPr>
          <w:rStyle w:val="TijelotekstaChar"/>
          <w:sz w:val="20"/>
          <w:szCs w:val="20"/>
        </w:rPr>
        <w:t>Contra la decisión a que se hace referencia en el apartado 4 de este artículo puede interponerse un recurso al ministerio competente de salud. El recurso se interpone dentro de 15 días desde el recibo del ejemplar escrito de la decisión.</w:t>
      </w:r>
    </w:p>
    <w:p w14:paraId="510D0ADB" w14:textId="77777777" w:rsidR="00052469" w:rsidRPr="005F30A2" w:rsidRDefault="00B47B10">
      <w:pPr>
        <w:pStyle w:val="Tijeloteksta"/>
        <w:jc w:val="center"/>
        <w:rPr>
          <w:sz w:val="20"/>
          <w:szCs w:val="20"/>
        </w:rPr>
      </w:pPr>
      <w:r w:rsidRPr="005F30A2">
        <w:rPr>
          <w:rStyle w:val="TijelotekstaChar"/>
          <w:sz w:val="20"/>
          <w:szCs w:val="20"/>
        </w:rPr>
        <w:t>Artículo 18</w:t>
      </w:r>
    </w:p>
    <w:p w14:paraId="7C6655C9" w14:textId="77777777" w:rsidR="00052469" w:rsidRPr="005F30A2" w:rsidRDefault="00B47B10">
      <w:pPr>
        <w:pStyle w:val="Tijeloteksta"/>
        <w:numPr>
          <w:ilvl w:val="0"/>
          <w:numId w:val="21"/>
        </w:numPr>
        <w:tabs>
          <w:tab w:val="left" w:pos="397"/>
        </w:tabs>
        <w:jc w:val="both"/>
        <w:rPr>
          <w:sz w:val="20"/>
          <w:szCs w:val="20"/>
        </w:rPr>
      </w:pPr>
      <w:r w:rsidRPr="005F30A2">
        <w:rPr>
          <w:rStyle w:val="TijelotekstaChar"/>
          <w:sz w:val="20"/>
          <w:szCs w:val="20"/>
        </w:rPr>
        <w:t>El solicitante debe remitir al CPM el certificado de la facultad de medicina acreditando la superación de la medida complementaria a más tardar dentro de 30 días desde la expiración del plazo de efectuar la medida complementaria.</w:t>
      </w:r>
    </w:p>
    <w:p w14:paraId="7CF6053D" w14:textId="77777777" w:rsidR="00052469" w:rsidRPr="005F30A2" w:rsidRDefault="00B47B10">
      <w:pPr>
        <w:pStyle w:val="Tijeloteksta"/>
        <w:numPr>
          <w:ilvl w:val="0"/>
          <w:numId w:val="21"/>
        </w:numPr>
        <w:tabs>
          <w:tab w:val="left" w:pos="397"/>
        </w:tabs>
        <w:jc w:val="both"/>
        <w:rPr>
          <w:sz w:val="20"/>
          <w:szCs w:val="20"/>
        </w:rPr>
      </w:pPr>
      <w:r w:rsidRPr="005F30A2">
        <w:rPr>
          <w:rStyle w:val="TijelotekstaChar"/>
          <w:sz w:val="20"/>
          <w:szCs w:val="20"/>
        </w:rPr>
        <w:t>Si el solicitante no remite el certificado a que se hace referencia en el primer apartado de este artículo dentro de 30 días desde la expiración del plazo de efectuar la medida complementaria, el CPM le invitará a remitirla.</w:t>
      </w:r>
    </w:p>
    <w:p w14:paraId="0533F3DE" w14:textId="77777777" w:rsidR="00052469" w:rsidRPr="005F30A2" w:rsidRDefault="00B47B10">
      <w:pPr>
        <w:pStyle w:val="Tijeloteksta"/>
        <w:numPr>
          <w:ilvl w:val="0"/>
          <w:numId w:val="21"/>
        </w:numPr>
        <w:tabs>
          <w:tab w:val="left" w:pos="392"/>
        </w:tabs>
        <w:jc w:val="both"/>
        <w:rPr>
          <w:sz w:val="20"/>
          <w:szCs w:val="20"/>
        </w:rPr>
      </w:pPr>
      <w:r w:rsidRPr="005F30A2">
        <w:rPr>
          <w:rStyle w:val="TijelotekstaChar"/>
          <w:sz w:val="20"/>
          <w:szCs w:val="20"/>
        </w:rPr>
        <w:t>Si aún a la solicitación del CPM el solicitante no remite el certificado a que se hace referencia en el primer apartado de este artículo, se considerará que ha renunciado de su solicitud y el procedimiento será suspendido.</w:t>
      </w:r>
    </w:p>
    <w:p w14:paraId="351F451F" w14:textId="77777777" w:rsidR="00052469" w:rsidRPr="005F30A2" w:rsidRDefault="00B47B10">
      <w:pPr>
        <w:pStyle w:val="Tijeloteksta"/>
        <w:numPr>
          <w:ilvl w:val="0"/>
          <w:numId w:val="21"/>
        </w:numPr>
        <w:tabs>
          <w:tab w:val="left" w:pos="402"/>
        </w:tabs>
        <w:jc w:val="both"/>
        <w:rPr>
          <w:sz w:val="20"/>
          <w:szCs w:val="20"/>
        </w:rPr>
      </w:pPr>
      <w:r w:rsidRPr="005F30A2">
        <w:rPr>
          <w:rStyle w:val="TijelotekstaChar"/>
          <w:sz w:val="20"/>
          <w:szCs w:val="20"/>
        </w:rPr>
        <w:t>Si el solicitante remite el certificado a que se hace referencia en el primer apartado de este artículo, el CPM tomará la decisión de reconocimiento de la cualificación profesional extranjera si el solicitante cumple con todas otras condiciones previstas por la Ley de profesiones reguladas y de reconocimiento de cualificaciones profesionales extranjeras.</w:t>
      </w:r>
    </w:p>
    <w:p w14:paraId="0BAB75F4" w14:textId="77777777" w:rsidR="00052469" w:rsidRPr="005F30A2" w:rsidRDefault="00B47B10">
      <w:pPr>
        <w:pStyle w:val="Tijeloteksta"/>
        <w:numPr>
          <w:ilvl w:val="0"/>
          <w:numId w:val="21"/>
        </w:numPr>
        <w:tabs>
          <w:tab w:val="left" w:pos="397"/>
        </w:tabs>
        <w:jc w:val="both"/>
        <w:rPr>
          <w:sz w:val="20"/>
          <w:szCs w:val="20"/>
        </w:rPr>
      </w:pPr>
      <w:r w:rsidRPr="005F30A2">
        <w:rPr>
          <w:rStyle w:val="TijelotekstaChar"/>
          <w:sz w:val="20"/>
          <w:szCs w:val="20"/>
        </w:rPr>
        <w:t>Contra la decisión a que se hace referencia en el apartado 2 de este artículo puede interponerse un recurso al ministerio competente de salud. El recurso se interpone dentro de 15 días desde el recibo del ejemplar escrito de la decisión.</w:t>
      </w:r>
    </w:p>
    <w:p w14:paraId="4BD8D440" w14:textId="77777777" w:rsidR="00052469" w:rsidRPr="005F30A2" w:rsidRDefault="00B47B10">
      <w:pPr>
        <w:pStyle w:val="Tijeloteksta"/>
        <w:jc w:val="center"/>
        <w:rPr>
          <w:sz w:val="20"/>
          <w:szCs w:val="20"/>
        </w:rPr>
      </w:pPr>
      <w:r w:rsidRPr="005F30A2">
        <w:rPr>
          <w:rStyle w:val="TijelotekstaChar"/>
          <w:sz w:val="20"/>
          <w:szCs w:val="20"/>
        </w:rPr>
        <w:t>Artículo 19</w:t>
      </w:r>
    </w:p>
    <w:p w14:paraId="58538772" w14:textId="77777777" w:rsidR="00052469" w:rsidRPr="005F30A2" w:rsidRDefault="00B47B10">
      <w:pPr>
        <w:pStyle w:val="Tijeloteksta"/>
        <w:jc w:val="both"/>
        <w:rPr>
          <w:sz w:val="20"/>
          <w:szCs w:val="20"/>
        </w:rPr>
      </w:pPr>
      <w:r w:rsidRPr="005F30A2">
        <w:rPr>
          <w:rStyle w:val="TijelotekstaChar"/>
          <w:sz w:val="20"/>
          <w:szCs w:val="20"/>
        </w:rPr>
        <w:t>Los gastos de la medida complementaria prevista por este Reglamento serán pagados por el solicitante.</w:t>
      </w:r>
      <w:r w:rsidRPr="005F30A2">
        <w:rPr>
          <w:sz w:val="20"/>
          <w:szCs w:val="20"/>
        </w:rPr>
        <w:br w:type="page"/>
      </w:r>
    </w:p>
    <w:p w14:paraId="17800558" w14:textId="77777777" w:rsidR="00052469" w:rsidRPr="005F30A2" w:rsidRDefault="00B47B10">
      <w:pPr>
        <w:pStyle w:val="Tijeloteksta"/>
        <w:jc w:val="center"/>
        <w:rPr>
          <w:sz w:val="20"/>
          <w:szCs w:val="20"/>
        </w:rPr>
      </w:pPr>
      <w:r w:rsidRPr="005F30A2">
        <w:rPr>
          <w:rStyle w:val="TijelotekstaChar"/>
          <w:sz w:val="20"/>
          <w:szCs w:val="20"/>
        </w:rPr>
        <w:lastRenderedPageBreak/>
        <w:t>Artículo 20</w:t>
      </w:r>
    </w:p>
    <w:p w14:paraId="2559CE26" w14:textId="490399A7" w:rsidR="00052469" w:rsidRPr="005F30A2" w:rsidRDefault="00B47B10">
      <w:pPr>
        <w:pStyle w:val="Tijeloteksta"/>
        <w:numPr>
          <w:ilvl w:val="0"/>
          <w:numId w:val="22"/>
        </w:numPr>
        <w:tabs>
          <w:tab w:val="left" w:pos="401"/>
        </w:tabs>
        <w:jc w:val="both"/>
        <w:rPr>
          <w:sz w:val="20"/>
          <w:szCs w:val="20"/>
        </w:rPr>
      </w:pPr>
      <w:r w:rsidRPr="005F30A2">
        <w:rPr>
          <w:rStyle w:val="TijelotekstaChar"/>
          <w:sz w:val="20"/>
          <w:szCs w:val="20"/>
        </w:rPr>
        <w:t xml:space="preserve">En caso de diferencias sustanciales entre las cualificaciones profesionales del candidato, determinadas por el CPM como autoridad competente, que no puedan paliarse ni aún con las medidas complementarias previstas en el artículo 13 de este Reglamento, él rechazará la solicitud de reconocimiento de la cualificación </w:t>
      </w:r>
      <w:r w:rsidR="005F30A2" w:rsidRPr="005F30A2">
        <w:rPr>
          <w:rStyle w:val="TijelotekstaChar"/>
          <w:sz w:val="20"/>
          <w:szCs w:val="20"/>
        </w:rPr>
        <w:t>profesional</w:t>
      </w:r>
      <w:r w:rsidRPr="005F30A2">
        <w:rPr>
          <w:rStyle w:val="TijelotekstaChar"/>
          <w:sz w:val="20"/>
          <w:szCs w:val="20"/>
        </w:rPr>
        <w:t xml:space="preserve"> extranjera.</w:t>
      </w:r>
    </w:p>
    <w:p w14:paraId="01463EBB" w14:textId="77777777" w:rsidR="00052469" w:rsidRPr="005F30A2" w:rsidRDefault="00B47B10">
      <w:pPr>
        <w:pStyle w:val="Tijeloteksta"/>
        <w:numPr>
          <w:ilvl w:val="0"/>
          <w:numId w:val="22"/>
        </w:numPr>
        <w:tabs>
          <w:tab w:val="left" w:pos="401"/>
        </w:tabs>
        <w:spacing w:after="580"/>
        <w:jc w:val="both"/>
        <w:rPr>
          <w:sz w:val="20"/>
          <w:szCs w:val="20"/>
        </w:rPr>
      </w:pPr>
      <w:r w:rsidRPr="005F30A2">
        <w:rPr>
          <w:rStyle w:val="TijelotekstaChar"/>
          <w:sz w:val="20"/>
          <w:szCs w:val="20"/>
        </w:rPr>
        <w:t>Contra la decisión a que se hace referencia en el apartado 1 de este artículo puede interponerse un recurso al ministerio competente de salud. El recurso se interpone dentro de 15 días desde el recibo del ejemplar escrito de la decisión.</w:t>
      </w:r>
    </w:p>
    <w:p w14:paraId="7EE144E0" w14:textId="77777777" w:rsidR="00052469" w:rsidRPr="005F30A2" w:rsidRDefault="00B47B10">
      <w:pPr>
        <w:pStyle w:val="Heading20"/>
        <w:keepNext/>
        <w:keepLines/>
        <w:spacing w:after="580"/>
        <w:rPr>
          <w:sz w:val="20"/>
          <w:szCs w:val="20"/>
        </w:rPr>
      </w:pPr>
      <w:bookmarkStart w:id="4" w:name="bookmark6"/>
      <w:r w:rsidRPr="005F30A2">
        <w:rPr>
          <w:rStyle w:val="Heading2"/>
          <w:b/>
          <w:sz w:val="20"/>
          <w:szCs w:val="20"/>
        </w:rPr>
        <w:t>III. RÉGIMEN DE RECONOCIMIENTO AUTOMÁTICO DE CUALIFICACIONES PROFESIONALES EXTRANJERAS</w:t>
      </w:r>
      <w:bookmarkEnd w:id="4"/>
    </w:p>
    <w:p w14:paraId="231C4761" w14:textId="77777777" w:rsidR="00052469" w:rsidRPr="005F30A2" w:rsidRDefault="00B47B10">
      <w:pPr>
        <w:pStyle w:val="Tijeloteksta"/>
        <w:jc w:val="center"/>
        <w:rPr>
          <w:sz w:val="20"/>
          <w:szCs w:val="20"/>
        </w:rPr>
      </w:pPr>
      <w:r w:rsidRPr="005F30A2">
        <w:rPr>
          <w:rStyle w:val="TijelotekstaChar"/>
          <w:sz w:val="20"/>
          <w:szCs w:val="20"/>
        </w:rPr>
        <w:t>Artículo 21</w:t>
      </w:r>
    </w:p>
    <w:p w14:paraId="0EEB18F3" w14:textId="77777777" w:rsidR="00052469" w:rsidRPr="005F30A2" w:rsidRDefault="00B47B10">
      <w:pPr>
        <w:pStyle w:val="Tijeloteksta"/>
        <w:numPr>
          <w:ilvl w:val="0"/>
          <w:numId w:val="23"/>
        </w:numPr>
        <w:tabs>
          <w:tab w:val="left" w:pos="401"/>
        </w:tabs>
        <w:spacing w:after="140" w:line="254" w:lineRule="auto"/>
        <w:jc w:val="both"/>
        <w:rPr>
          <w:sz w:val="20"/>
          <w:szCs w:val="20"/>
        </w:rPr>
      </w:pPr>
      <w:r w:rsidRPr="005F30A2">
        <w:rPr>
          <w:rStyle w:val="TijelotekstaChar"/>
          <w:sz w:val="20"/>
          <w:szCs w:val="20"/>
        </w:rPr>
        <w:t>El régimen de reconocimiento automático  de cualificaciones profesionales extranjeras se aplica a los nacionales de los Estados miembros de la UE, o de un estado parte en el Acuerdo sobre el EEE, a los nacionales de la Confederación Suiza y a los nacionales de la República de Croacia quienes hayan obtenido sus calificaciones profesionales en un Estado Miembro de la UE, un estado parte en el Acuerdo sobre el EEE o en la Confederación Suiza.</w:t>
      </w:r>
    </w:p>
    <w:p w14:paraId="6C28EB68" w14:textId="77777777" w:rsidR="00052469" w:rsidRPr="005F30A2" w:rsidRDefault="00B47B10">
      <w:pPr>
        <w:pStyle w:val="Tijeloteksta"/>
        <w:numPr>
          <w:ilvl w:val="0"/>
          <w:numId w:val="23"/>
        </w:numPr>
        <w:tabs>
          <w:tab w:val="left" w:pos="401"/>
        </w:tabs>
        <w:jc w:val="both"/>
        <w:rPr>
          <w:sz w:val="20"/>
          <w:szCs w:val="20"/>
        </w:rPr>
      </w:pPr>
      <w:r w:rsidRPr="005F30A2">
        <w:rPr>
          <w:rStyle w:val="TijelotekstaChar"/>
          <w:sz w:val="20"/>
          <w:szCs w:val="20"/>
        </w:rPr>
        <w:t>El régimen de reconocimiento automático de cualificaciones profesionales extranjeras se aplica a los nacionales de los terceros países quienes hayan obtenido sus calificaciones profesionales en un Estado Miembro de la UE, en un estado parte en el Acuerdo sobre el EEE o en la Confederación Suiza.</w:t>
      </w:r>
    </w:p>
    <w:p w14:paraId="78DBD968" w14:textId="77777777" w:rsidR="00052469" w:rsidRPr="005F30A2" w:rsidRDefault="00B47B10">
      <w:pPr>
        <w:pStyle w:val="Tijeloteksta"/>
        <w:numPr>
          <w:ilvl w:val="0"/>
          <w:numId w:val="23"/>
        </w:numPr>
        <w:tabs>
          <w:tab w:val="left" w:pos="401"/>
        </w:tabs>
        <w:spacing w:after="580"/>
        <w:jc w:val="both"/>
        <w:rPr>
          <w:sz w:val="20"/>
          <w:szCs w:val="20"/>
        </w:rPr>
      </w:pPr>
      <w:r w:rsidRPr="005F30A2">
        <w:rPr>
          <w:rStyle w:val="TijelotekstaChar"/>
          <w:sz w:val="20"/>
          <w:szCs w:val="20"/>
        </w:rPr>
        <w:t>El régimen de reconocimiento automático de cualificaciones profesionales extranjeras se aplica a los nacionales de un tercer país quienes han ejercido efectiva y lícitamente, en un Estado Miembro de la UE, en un estado parte en el Acuerdo sobre el EEE o en la Confederación Suiza, la dicha actividad durante, por lo menos, tres años consecutivos en el transcurso de los cinco años anteriores a la presentación de la solicitud de reconocimiento automático de la cualificación profesional extranjera.</w:t>
      </w:r>
    </w:p>
    <w:p w14:paraId="253068E3" w14:textId="77777777" w:rsidR="00052469" w:rsidRPr="005F30A2" w:rsidRDefault="00B47B10">
      <w:pPr>
        <w:pStyle w:val="Tijeloteksta"/>
        <w:jc w:val="center"/>
        <w:rPr>
          <w:sz w:val="20"/>
          <w:szCs w:val="20"/>
        </w:rPr>
      </w:pPr>
      <w:r w:rsidRPr="005F30A2">
        <w:rPr>
          <w:rStyle w:val="TijelotekstaChar"/>
          <w:sz w:val="20"/>
          <w:szCs w:val="20"/>
        </w:rPr>
        <w:t>Artículo 22</w:t>
      </w:r>
    </w:p>
    <w:p w14:paraId="4D349AEA" w14:textId="77777777" w:rsidR="00052469" w:rsidRPr="005F30A2" w:rsidRDefault="00B47B10">
      <w:pPr>
        <w:pStyle w:val="Tijeloteksta"/>
        <w:numPr>
          <w:ilvl w:val="0"/>
          <w:numId w:val="24"/>
        </w:numPr>
        <w:tabs>
          <w:tab w:val="left" w:pos="401"/>
        </w:tabs>
        <w:jc w:val="both"/>
        <w:rPr>
          <w:sz w:val="20"/>
          <w:szCs w:val="20"/>
        </w:rPr>
      </w:pPr>
      <w:r w:rsidRPr="005F30A2">
        <w:rPr>
          <w:rStyle w:val="TijelotekstaChar"/>
          <w:sz w:val="20"/>
          <w:szCs w:val="20"/>
        </w:rPr>
        <w:t>El procedimiento de reconocimiento de cualificaciones profesionales extranjeras según el régimen de reconocimiento automático se inicia presentando una solicitud de reconocimiento de cualificaciones profesionales extranjeras.</w:t>
      </w:r>
    </w:p>
    <w:p w14:paraId="7627E3AA" w14:textId="77777777" w:rsidR="00052469" w:rsidRPr="005F30A2" w:rsidRDefault="00B47B10">
      <w:pPr>
        <w:pStyle w:val="Tijeloteksta"/>
        <w:numPr>
          <w:ilvl w:val="0"/>
          <w:numId w:val="24"/>
        </w:numPr>
        <w:tabs>
          <w:tab w:val="left" w:pos="401"/>
        </w:tabs>
        <w:jc w:val="both"/>
        <w:rPr>
          <w:sz w:val="20"/>
          <w:szCs w:val="20"/>
        </w:rPr>
      </w:pPr>
      <w:r w:rsidRPr="005F30A2">
        <w:rPr>
          <w:rStyle w:val="TijelotekstaChar"/>
          <w:sz w:val="20"/>
          <w:szCs w:val="20"/>
        </w:rPr>
        <w:t>La solicitud irá acompañada de la documentación siguiente:</w:t>
      </w:r>
    </w:p>
    <w:p w14:paraId="7355D6BB" w14:textId="77777777" w:rsidR="00052469" w:rsidRPr="005F30A2" w:rsidRDefault="00B47B10">
      <w:pPr>
        <w:pStyle w:val="Tijeloteksta"/>
        <w:numPr>
          <w:ilvl w:val="0"/>
          <w:numId w:val="25"/>
        </w:numPr>
        <w:tabs>
          <w:tab w:val="left" w:pos="735"/>
        </w:tabs>
        <w:spacing w:after="0"/>
        <w:ind w:left="740" w:hanging="360"/>
        <w:jc w:val="both"/>
        <w:rPr>
          <w:sz w:val="20"/>
          <w:szCs w:val="20"/>
        </w:rPr>
      </w:pPr>
      <w:r w:rsidRPr="005F30A2">
        <w:rPr>
          <w:rStyle w:val="TijelotekstaChar"/>
          <w:sz w:val="20"/>
          <w:szCs w:val="20"/>
        </w:rPr>
        <w:t>la prueba de la nacionalidad (certificado de nacionalidad croata, pasaporte u otro documento de nacionalidad correspondiente)</w:t>
      </w:r>
    </w:p>
    <w:p w14:paraId="3F1BCC61" w14:textId="77777777" w:rsidR="00052469" w:rsidRPr="005F30A2" w:rsidRDefault="00B47B10">
      <w:pPr>
        <w:pStyle w:val="Tijeloteksta"/>
        <w:numPr>
          <w:ilvl w:val="0"/>
          <w:numId w:val="25"/>
        </w:numPr>
        <w:tabs>
          <w:tab w:val="left" w:pos="735"/>
        </w:tabs>
        <w:spacing w:after="0"/>
        <w:ind w:left="740" w:hanging="360"/>
        <w:jc w:val="both"/>
        <w:rPr>
          <w:sz w:val="20"/>
          <w:szCs w:val="20"/>
        </w:rPr>
      </w:pPr>
      <w:r w:rsidRPr="005F30A2">
        <w:rPr>
          <w:rStyle w:val="TijelotekstaChar"/>
          <w:sz w:val="20"/>
          <w:szCs w:val="20"/>
        </w:rPr>
        <w:t>prueba de formación  y otras pruebas de educación formal superada – título del centro</w:t>
      </w:r>
      <w:r w:rsidRPr="005F30A2">
        <w:rPr>
          <w:rStyle w:val="TijelotekstaChar"/>
        </w:rPr>
        <w:t xml:space="preserve"> de </w:t>
      </w:r>
      <w:r w:rsidRPr="005F30A2">
        <w:rPr>
          <w:rStyle w:val="TijelotekstaChar"/>
          <w:sz w:val="20"/>
          <w:szCs w:val="20"/>
        </w:rPr>
        <w:t>enseñanza superior extranjero – facultad de medicina</w:t>
      </w:r>
    </w:p>
    <w:p w14:paraId="287C763D" w14:textId="77777777" w:rsidR="00052469" w:rsidRPr="005F30A2" w:rsidRDefault="00B47B10">
      <w:pPr>
        <w:pStyle w:val="Tijeloteksta"/>
        <w:numPr>
          <w:ilvl w:val="0"/>
          <w:numId w:val="25"/>
        </w:numPr>
        <w:tabs>
          <w:tab w:val="left" w:pos="735"/>
        </w:tabs>
        <w:spacing w:after="0"/>
        <w:ind w:firstLine="380"/>
        <w:jc w:val="both"/>
        <w:rPr>
          <w:sz w:val="20"/>
          <w:szCs w:val="20"/>
        </w:rPr>
      </w:pPr>
      <w:r w:rsidRPr="005F30A2">
        <w:rPr>
          <w:rStyle w:val="TijelotekstaChar"/>
          <w:sz w:val="20"/>
          <w:szCs w:val="20"/>
        </w:rPr>
        <w:t>prueba del examen de competencia profesional superado</w:t>
      </w:r>
    </w:p>
    <w:p w14:paraId="49D0C333" w14:textId="77777777" w:rsidR="00052469" w:rsidRPr="005F30A2" w:rsidRDefault="00B47B10">
      <w:pPr>
        <w:pStyle w:val="Tijeloteksta"/>
        <w:numPr>
          <w:ilvl w:val="0"/>
          <w:numId w:val="25"/>
        </w:numPr>
        <w:tabs>
          <w:tab w:val="left" w:pos="735"/>
        </w:tabs>
        <w:ind w:firstLine="380"/>
        <w:jc w:val="both"/>
        <w:rPr>
          <w:sz w:val="20"/>
          <w:szCs w:val="20"/>
        </w:rPr>
      </w:pPr>
      <w:r w:rsidRPr="005F30A2">
        <w:rPr>
          <w:rStyle w:val="TijelotekstaChar"/>
          <w:sz w:val="20"/>
          <w:szCs w:val="20"/>
        </w:rPr>
        <w:t>prueba de cualificación profesional – certificado/título del examen de especialidad médica superado</w:t>
      </w:r>
      <w:r w:rsidRPr="005F30A2">
        <w:rPr>
          <w:sz w:val="20"/>
          <w:szCs w:val="20"/>
        </w:rPr>
        <w:br w:type="page"/>
      </w:r>
    </w:p>
    <w:p w14:paraId="68DD487A" w14:textId="77777777" w:rsidR="00052469" w:rsidRPr="005F30A2" w:rsidRDefault="00B47B10">
      <w:pPr>
        <w:pStyle w:val="Tijeloteksta"/>
        <w:numPr>
          <w:ilvl w:val="0"/>
          <w:numId w:val="25"/>
        </w:numPr>
        <w:tabs>
          <w:tab w:val="left" w:pos="735"/>
        </w:tabs>
        <w:spacing w:after="0"/>
        <w:ind w:left="740" w:hanging="360"/>
        <w:jc w:val="both"/>
        <w:rPr>
          <w:sz w:val="20"/>
          <w:szCs w:val="20"/>
        </w:rPr>
      </w:pPr>
      <w:r w:rsidRPr="005F30A2">
        <w:rPr>
          <w:rStyle w:val="TijelotekstaChar"/>
          <w:sz w:val="20"/>
          <w:szCs w:val="20"/>
        </w:rPr>
        <w:lastRenderedPageBreak/>
        <w:t>Prueba de conformidad de las cualificaciones profesionales con las disposiciones de la Directiva 2005/36/CE del Parlamento europeo y del Consejo relativa al reconocimiento de cualificaciones profesionales (como prueba se adjunta certificado de la autoridad competente del país de origen del solicitante que acredite la cualificación profesional obtenida y empleo de títulos, de acuerdo a lo dispuesto en la Directiva 2005/36/CE)</w:t>
      </w:r>
    </w:p>
    <w:p w14:paraId="0C325F11" w14:textId="77777777" w:rsidR="00052469" w:rsidRPr="005F30A2" w:rsidRDefault="00B47B10">
      <w:pPr>
        <w:pStyle w:val="Tijeloteksta"/>
        <w:numPr>
          <w:ilvl w:val="0"/>
          <w:numId w:val="25"/>
        </w:numPr>
        <w:tabs>
          <w:tab w:val="left" w:pos="735"/>
        </w:tabs>
        <w:spacing w:after="0"/>
        <w:ind w:left="740" w:hanging="360"/>
        <w:jc w:val="both"/>
        <w:rPr>
          <w:sz w:val="20"/>
          <w:szCs w:val="20"/>
        </w:rPr>
      </w:pPr>
      <w:r w:rsidRPr="005F30A2">
        <w:rPr>
          <w:rStyle w:val="TijelotekstaChar"/>
          <w:sz w:val="20"/>
          <w:szCs w:val="20"/>
        </w:rPr>
        <w:t>otros documentos (prueba de pertenencia al Colegio profesional de médicos, acta de matrimonio o decisión de la autoridad competente para las personas que hayan cambiado su nombre y/o apellido)</w:t>
      </w:r>
    </w:p>
    <w:p w14:paraId="0375D47D" w14:textId="77777777" w:rsidR="00052469" w:rsidRPr="005F30A2" w:rsidRDefault="00B47B10">
      <w:pPr>
        <w:pStyle w:val="Tijeloteksta"/>
        <w:numPr>
          <w:ilvl w:val="0"/>
          <w:numId w:val="25"/>
        </w:numPr>
        <w:tabs>
          <w:tab w:val="left" w:pos="735"/>
        </w:tabs>
        <w:spacing w:after="0"/>
        <w:ind w:left="740" w:hanging="360"/>
        <w:jc w:val="both"/>
        <w:rPr>
          <w:sz w:val="20"/>
          <w:szCs w:val="20"/>
        </w:rPr>
      </w:pPr>
      <w:r w:rsidRPr="005F30A2">
        <w:rPr>
          <w:rStyle w:val="TijelotekstaChar"/>
          <w:sz w:val="20"/>
          <w:szCs w:val="20"/>
        </w:rPr>
        <w:t>comprobante de pago de los gastos del procedimiento de reconocimiento de cualificaciones profesionales extranjeras</w:t>
      </w:r>
    </w:p>
    <w:p w14:paraId="5A65738F" w14:textId="77777777" w:rsidR="00052469" w:rsidRPr="005F30A2" w:rsidRDefault="00B47B10">
      <w:pPr>
        <w:pStyle w:val="Tijeloteksta"/>
        <w:numPr>
          <w:ilvl w:val="0"/>
          <w:numId w:val="25"/>
        </w:numPr>
        <w:tabs>
          <w:tab w:val="left" w:pos="735"/>
        </w:tabs>
        <w:spacing w:after="0"/>
        <w:ind w:firstLine="380"/>
        <w:jc w:val="both"/>
        <w:rPr>
          <w:sz w:val="20"/>
          <w:szCs w:val="20"/>
        </w:rPr>
      </w:pPr>
      <w:r w:rsidRPr="005F30A2">
        <w:rPr>
          <w:rStyle w:val="TijelotekstaChar"/>
          <w:sz w:val="20"/>
          <w:szCs w:val="20"/>
        </w:rPr>
        <w:t>comprobante de pago de la tasa administrativa</w:t>
      </w:r>
    </w:p>
    <w:p w14:paraId="010F1EFA" w14:textId="37D9E5B2" w:rsidR="00052469" w:rsidRPr="005F30A2" w:rsidRDefault="00B47B10">
      <w:pPr>
        <w:pStyle w:val="Tijeloteksta"/>
        <w:numPr>
          <w:ilvl w:val="0"/>
          <w:numId w:val="25"/>
        </w:numPr>
        <w:tabs>
          <w:tab w:val="left" w:pos="735"/>
        </w:tabs>
        <w:ind w:left="740" w:hanging="360"/>
        <w:jc w:val="both"/>
        <w:rPr>
          <w:sz w:val="20"/>
          <w:szCs w:val="20"/>
        </w:rPr>
      </w:pPr>
      <w:r w:rsidRPr="005F30A2">
        <w:rPr>
          <w:rStyle w:val="TijelotekstaChar"/>
          <w:sz w:val="20"/>
          <w:szCs w:val="20"/>
        </w:rPr>
        <w:t xml:space="preserve">declaración por la que el solicitante que es encuentra en el extranjero nombra a un apoderado para recibir la documentación, residente en la República de Croacia, en los casos si no cuenta con </w:t>
      </w:r>
      <w:r w:rsidR="005F30A2" w:rsidRPr="005F30A2">
        <w:rPr>
          <w:rStyle w:val="TijelotekstaChar"/>
          <w:sz w:val="20"/>
          <w:szCs w:val="20"/>
        </w:rPr>
        <w:t>un</w:t>
      </w:r>
      <w:r w:rsidRPr="005F30A2">
        <w:rPr>
          <w:rStyle w:val="TijelotekstaChar"/>
          <w:sz w:val="20"/>
          <w:szCs w:val="20"/>
        </w:rPr>
        <w:t xml:space="preserve"> poder de representar.</w:t>
      </w:r>
    </w:p>
    <w:p w14:paraId="3C24111F" w14:textId="77777777" w:rsidR="00052469" w:rsidRPr="005F30A2" w:rsidRDefault="00B47B10">
      <w:pPr>
        <w:pStyle w:val="Tijeloteksta"/>
        <w:numPr>
          <w:ilvl w:val="0"/>
          <w:numId w:val="24"/>
        </w:numPr>
        <w:tabs>
          <w:tab w:val="left" w:pos="380"/>
        </w:tabs>
        <w:spacing w:after="580"/>
        <w:jc w:val="both"/>
        <w:rPr>
          <w:sz w:val="20"/>
          <w:szCs w:val="20"/>
        </w:rPr>
      </w:pPr>
      <w:r w:rsidRPr="005F30A2">
        <w:rPr>
          <w:rStyle w:val="TijelotekstaChar"/>
          <w:sz w:val="20"/>
          <w:szCs w:val="20"/>
        </w:rPr>
        <w:t>En caso de duda razonable en la autenticidad de la documentación a que se hace referencia en el apartado 2 de este artículo, el CPM puede reclamar de las autoridades competentes la verificación de la autenticidad de las pruebas y de la acreditación de centros de enseñanza superior y de los programas de capacitación, pudiendo hacer la verificación de la documentación mediante el sistema IMI, en las condiciones establecidas en la Ley de profesiones reguladas y de reconocimiento de cualificaciones profesionales extranjeras.</w:t>
      </w:r>
    </w:p>
    <w:p w14:paraId="4EB1A3DC" w14:textId="77777777" w:rsidR="00052469" w:rsidRPr="005F30A2" w:rsidRDefault="00B47B10">
      <w:pPr>
        <w:pStyle w:val="Tijeloteksta"/>
        <w:jc w:val="center"/>
        <w:rPr>
          <w:sz w:val="20"/>
          <w:szCs w:val="20"/>
        </w:rPr>
      </w:pPr>
      <w:r w:rsidRPr="005F30A2">
        <w:rPr>
          <w:rStyle w:val="TijelotekstaChar"/>
          <w:sz w:val="20"/>
          <w:szCs w:val="20"/>
        </w:rPr>
        <w:t>Artículo 23</w:t>
      </w:r>
    </w:p>
    <w:p w14:paraId="0FE80CCF" w14:textId="77777777" w:rsidR="00052469" w:rsidRPr="005F30A2" w:rsidRDefault="00B47B10">
      <w:pPr>
        <w:pStyle w:val="Tijeloteksta"/>
        <w:numPr>
          <w:ilvl w:val="0"/>
          <w:numId w:val="26"/>
        </w:numPr>
        <w:tabs>
          <w:tab w:val="left" w:pos="380"/>
        </w:tabs>
        <w:jc w:val="both"/>
        <w:rPr>
          <w:sz w:val="20"/>
          <w:szCs w:val="20"/>
        </w:rPr>
      </w:pPr>
      <w:r w:rsidRPr="005F30A2">
        <w:rPr>
          <w:rStyle w:val="TijelotekstaChar"/>
          <w:sz w:val="20"/>
          <w:szCs w:val="20"/>
        </w:rPr>
        <w:t>Dentro de un mes desde el recibo de la solicitud a que se hace referencia en el artículo 22 de este Reglamento, el CPM debe confirmar su recibo al solicitante.</w:t>
      </w:r>
    </w:p>
    <w:p w14:paraId="54402B87" w14:textId="77777777" w:rsidR="00052469" w:rsidRPr="005F30A2" w:rsidRDefault="00B47B10">
      <w:pPr>
        <w:pStyle w:val="Tijeloteksta"/>
        <w:numPr>
          <w:ilvl w:val="0"/>
          <w:numId w:val="26"/>
        </w:numPr>
        <w:tabs>
          <w:tab w:val="left" w:pos="380"/>
        </w:tabs>
        <w:jc w:val="both"/>
        <w:rPr>
          <w:sz w:val="20"/>
          <w:szCs w:val="20"/>
        </w:rPr>
      </w:pPr>
      <w:r w:rsidRPr="005F30A2">
        <w:rPr>
          <w:rStyle w:val="TijelotekstaChar"/>
          <w:sz w:val="20"/>
          <w:szCs w:val="20"/>
        </w:rPr>
        <w:t>Si la solicitud es incompleta, o contiene una deficiencia que impida dar curso a la solicitud, dentro de 15 días desde el recibo de tal solicitud la autoridad competente invitará al solicitante de completarla dentro de 90 días.</w:t>
      </w:r>
    </w:p>
    <w:p w14:paraId="3CD2BB13" w14:textId="77777777" w:rsidR="00052469" w:rsidRPr="005F30A2" w:rsidRDefault="00B47B10">
      <w:pPr>
        <w:pStyle w:val="Tijeloteksta"/>
        <w:numPr>
          <w:ilvl w:val="0"/>
          <w:numId w:val="26"/>
        </w:numPr>
        <w:tabs>
          <w:tab w:val="left" w:pos="380"/>
        </w:tabs>
        <w:jc w:val="both"/>
        <w:rPr>
          <w:sz w:val="20"/>
          <w:szCs w:val="20"/>
        </w:rPr>
      </w:pPr>
      <w:r w:rsidRPr="005F30A2">
        <w:rPr>
          <w:rStyle w:val="TijelotekstaChar"/>
          <w:sz w:val="20"/>
          <w:szCs w:val="20"/>
        </w:rPr>
        <w:t>Si el solicitante da cumplimiento a la invitación, y es imposible dar curso a la solicitud, la autoridad competente rechazará la solicitud como incompleta.</w:t>
      </w:r>
    </w:p>
    <w:p w14:paraId="7B5FAA5B" w14:textId="77777777" w:rsidR="00052469" w:rsidRPr="005F30A2" w:rsidRDefault="00B47B10">
      <w:pPr>
        <w:pStyle w:val="Tijeloteksta"/>
        <w:numPr>
          <w:ilvl w:val="0"/>
          <w:numId w:val="26"/>
        </w:numPr>
        <w:tabs>
          <w:tab w:val="left" w:pos="380"/>
        </w:tabs>
        <w:jc w:val="both"/>
        <w:rPr>
          <w:sz w:val="20"/>
          <w:szCs w:val="20"/>
        </w:rPr>
      </w:pPr>
      <w:r w:rsidRPr="005F30A2">
        <w:rPr>
          <w:rStyle w:val="TijelotekstaChar"/>
          <w:sz w:val="20"/>
          <w:szCs w:val="20"/>
        </w:rPr>
        <w:t>Contra la decisión a que se hace referencia en el apartado 3 de este artículo puede interponerse un recurso al ministerio competente de salud. El recurso se interpone dentro de 15 días desde el recibo del ejemplar escrito de la decisión.</w:t>
      </w:r>
    </w:p>
    <w:p w14:paraId="201758D3" w14:textId="77777777" w:rsidR="00052469" w:rsidRPr="005F30A2" w:rsidRDefault="00B47B10">
      <w:pPr>
        <w:pStyle w:val="Tijeloteksta"/>
        <w:jc w:val="center"/>
        <w:rPr>
          <w:sz w:val="20"/>
          <w:szCs w:val="20"/>
        </w:rPr>
      </w:pPr>
      <w:r w:rsidRPr="005F30A2">
        <w:rPr>
          <w:rStyle w:val="TijelotekstaChar"/>
          <w:sz w:val="20"/>
          <w:szCs w:val="20"/>
        </w:rPr>
        <w:t>Artículo 24</w:t>
      </w:r>
    </w:p>
    <w:p w14:paraId="3AB7628E" w14:textId="77777777" w:rsidR="00052469" w:rsidRPr="005F30A2" w:rsidRDefault="00B47B10">
      <w:pPr>
        <w:pStyle w:val="Tijeloteksta"/>
        <w:numPr>
          <w:ilvl w:val="0"/>
          <w:numId w:val="27"/>
        </w:numPr>
        <w:tabs>
          <w:tab w:val="left" w:pos="380"/>
        </w:tabs>
        <w:jc w:val="both"/>
        <w:rPr>
          <w:sz w:val="20"/>
          <w:szCs w:val="20"/>
        </w:rPr>
      </w:pPr>
      <w:r w:rsidRPr="005F30A2">
        <w:rPr>
          <w:rStyle w:val="TijelotekstaChar"/>
          <w:sz w:val="20"/>
          <w:szCs w:val="20"/>
        </w:rPr>
        <w:t>El CPM toma la decisión de reconocimiento de la cualificación profesional extranjera según el régimen de reconocimiento automático si el solicitante cumple con las condiciones previstas por la Ley de profesiones reguladas y de reconocimiento de cualificaciones profesionales extranjeras. La decisión se toma dentro de 90 días como máximo desde la fecha de recibo de la solicitud completa.</w:t>
      </w:r>
    </w:p>
    <w:p w14:paraId="284CBB80" w14:textId="77777777" w:rsidR="00052469" w:rsidRPr="005F30A2" w:rsidRDefault="00B47B10">
      <w:pPr>
        <w:pStyle w:val="Tijeloteksta"/>
        <w:numPr>
          <w:ilvl w:val="0"/>
          <w:numId w:val="27"/>
        </w:numPr>
        <w:tabs>
          <w:tab w:val="left" w:pos="380"/>
        </w:tabs>
        <w:jc w:val="both"/>
      </w:pPr>
      <w:r w:rsidRPr="005F30A2">
        <w:rPr>
          <w:rStyle w:val="TijelotekstaChar"/>
          <w:sz w:val="20"/>
          <w:szCs w:val="20"/>
        </w:rPr>
        <w:t>Por razones debidamente motivadas, el plazo a que se hace referencia al primer apartado de este artículo puede prorrogarse de 30 días adicionales como máximo.</w:t>
      </w:r>
      <w:r w:rsidRPr="005F30A2">
        <w:br w:type="page"/>
      </w:r>
    </w:p>
    <w:p w14:paraId="22C1F624" w14:textId="77777777" w:rsidR="00052469" w:rsidRPr="005F30A2" w:rsidRDefault="00B47B10">
      <w:pPr>
        <w:pStyle w:val="Tijeloteksta"/>
        <w:numPr>
          <w:ilvl w:val="0"/>
          <w:numId w:val="27"/>
        </w:numPr>
        <w:tabs>
          <w:tab w:val="left" w:pos="380"/>
        </w:tabs>
        <w:jc w:val="both"/>
        <w:rPr>
          <w:sz w:val="20"/>
          <w:szCs w:val="20"/>
        </w:rPr>
      </w:pPr>
      <w:r w:rsidRPr="005F30A2">
        <w:rPr>
          <w:rStyle w:val="TijelotekstaChar"/>
          <w:sz w:val="20"/>
          <w:szCs w:val="20"/>
        </w:rPr>
        <w:lastRenderedPageBreak/>
        <w:t>Contra la decisión a que se hace referencia en el apartado 1 de este artículo puede interponerse un recurso al ministerio competente de salud. El recurso se interpone dentro de 15 días desde el recibo del ejemplar escrito de la decisión.</w:t>
      </w:r>
    </w:p>
    <w:p w14:paraId="060C985A" w14:textId="77777777" w:rsidR="00052469" w:rsidRPr="005F30A2" w:rsidRDefault="00B47B10">
      <w:pPr>
        <w:pStyle w:val="Tijeloteksta"/>
        <w:numPr>
          <w:ilvl w:val="0"/>
          <w:numId w:val="27"/>
        </w:numPr>
        <w:tabs>
          <w:tab w:val="left" w:pos="380"/>
        </w:tabs>
        <w:spacing w:after="880"/>
        <w:jc w:val="both"/>
        <w:rPr>
          <w:sz w:val="20"/>
          <w:szCs w:val="20"/>
        </w:rPr>
      </w:pPr>
      <w:r w:rsidRPr="005F30A2">
        <w:rPr>
          <w:rStyle w:val="TijelotekstaChar"/>
          <w:sz w:val="20"/>
          <w:szCs w:val="20"/>
        </w:rPr>
        <w:t>Si el CPM no toma la decisión y no la remite dentro de los plazos previstos por este artículo, se considerará que la solicitud ha sido autorizada. En este caso, el solicitante tiene derecho a pedir al CPM de tomar la decisión con la cual se autorice la solicitud. La decisión se toma dentro de ocho días desde la fecha de la petición de tomar la decisión.</w:t>
      </w:r>
    </w:p>
    <w:p w14:paraId="2C3D5CEF" w14:textId="77777777" w:rsidR="00052469" w:rsidRPr="005F30A2" w:rsidRDefault="00B47B10">
      <w:pPr>
        <w:pStyle w:val="Heading20"/>
        <w:keepNext/>
        <w:keepLines/>
        <w:spacing w:after="600"/>
        <w:rPr>
          <w:sz w:val="20"/>
          <w:szCs w:val="20"/>
        </w:rPr>
      </w:pPr>
      <w:bookmarkStart w:id="5" w:name="bookmark8"/>
      <w:r w:rsidRPr="005F30A2">
        <w:rPr>
          <w:rStyle w:val="Heading2"/>
          <w:b/>
          <w:sz w:val="20"/>
          <w:szCs w:val="20"/>
        </w:rPr>
        <w:t>IV. PRESTACIÓN DE SERVICIOS DE FORMA TEMPORAL U OCASIONAL SOBRE LA BASE DE CUALIFICACIONES PROFESIONALES EXTRANJERAS</w:t>
      </w:r>
      <w:bookmarkEnd w:id="5"/>
    </w:p>
    <w:p w14:paraId="4923050E" w14:textId="77777777" w:rsidR="00052469" w:rsidRPr="005F30A2" w:rsidRDefault="00B47B10">
      <w:pPr>
        <w:pStyle w:val="Tijeloteksta"/>
        <w:jc w:val="center"/>
        <w:rPr>
          <w:sz w:val="20"/>
          <w:szCs w:val="20"/>
        </w:rPr>
      </w:pPr>
      <w:r w:rsidRPr="005F30A2">
        <w:rPr>
          <w:rStyle w:val="TijelotekstaChar"/>
          <w:sz w:val="20"/>
          <w:szCs w:val="20"/>
        </w:rPr>
        <w:t>Artículo 25</w:t>
      </w:r>
    </w:p>
    <w:p w14:paraId="5F85C7D2" w14:textId="77777777" w:rsidR="00052469" w:rsidRPr="005F30A2" w:rsidRDefault="00B47B10">
      <w:pPr>
        <w:pStyle w:val="Tijeloteksta"/>
        <w:numPr>
          <w:ilvl w:val="0"/>
          <w:numId w:val="28"/>
        </w:numPr>
        <w:tabs>
          <w:tab w:val="left" w:pos="380"/>
        </w:tabs>
        <w:spacing w:after="140"/>
        <w:jc w:val="both"/>
        <w:rPr>
          <w:sz w:val="20"/>
          <w:szCs w:val="20"/>
        </w:rPr>
      </w:pPr>
      <w:r w:rsidRPr="005F30A2">
        <w:rPr>
          <w:rStyle w:val="TijelotekstaChar"/>
          <w:sz w:val="20"/>
          <w:szCs w:val="20"/>
        </w:rPr>
        <w:t>En el territorio de la República de Croacia la actividad de la profesión regulada del médico o del médico especialista puede ser ejercida de forma temporal u ocasional por un médico o por un médico especialista quien está legalmente establecido en un Estado miembro de la UE, en un estado parte en el Acuerdo sobre el EEE o en la Confederación Suiza.</w:t>
      </w:r>
    </w:p>
    <w:p w14:paraId="2A4FA60C" w14:textId="77777777" w:rsidR="00052469" w:rsidRPr="005F30A2" w:rsidRDefault="00B47B10">
      <w:pPr>
        <w:pStyle w:val="Tijeloteksta"/>
        <w:numPr>
          <w:ilvl w:val="0"/>
          <w:numId w:val="28"/>
        </w:numPr>
        <w:tabs>
          <w:tab w:val="left" w:pos="370"/>
        </w:tabs>
        <w:spacing w:after="600"/>
        <w:jc w:val="both"/>
        <w:rPr>
          <w:sz w:val="20"/>
          <w:szCs w:val="20"/>
        </w:rPr>
      </w:pPr>
      <w:r w:rsidRPr="005F30A2">
        <w:rPr>
          <w:rStyle w:val="TijelotekstaChar"/>
          <w:sz w:val="20"/>
          <w:szCs w:val="20"/>
        </w:rPr>
        <w:t>Lo dispuesto en el primer apartado de este artículo no se aplica a los nacionales de un tercer país.</w:t>
      </w:r>
    </w:p>
    <w:p w14:paraId="4CA1DD45" w14:textId="77777777" w:rsidR="00052469" w:rsidRPr="005F30A2" w:rsidRDefault="00B47B10">
      <w:pPr>
        <w:pStyle w:val="Tijeloteksta"/>
        <w:spacing w:after="140"/>
        <w:jc w:val="center"/>
        <w:rPr>
          <w:sz w:val="20"/>
          <w:szCs w:val="20"/>
        </w:rPr>
      </w:pPr>
      <w:r w:rsidRPr="005F30A2">
        <w:rPr>
          <w:rStyle w:val="TijelotekstaChar"/>
          <w:sz w:val="20"/>
          <w:szCs w:val="20"/>
        </w:rPr>
        <w:t>Artículo 26</w:t>
      </w:r>
    </w:p>
    <w:p w14:paraId="78B281C5" w14:textId="77777777" w:rsidR="00052469" w:rsidRPr="005F30A2" w:rsidRDefault="00B47B10">
      <w:pPr>
        <w:pStyle w:val="Tijeloteksta"/>
        <w:numPr>
          <w:ilvl w:val="0"/>
          <w:numId w:val="29"/>
        </w:numPr>
        <w:tabs>
          <w:tab w:val="left" w:pos="380"/>
        </w:tabs>
        <w:spacing w:after="140"/>
        <w:jc w:val="both"/>
        <w:rPr>
          <w:sz w:val="20"/>
          <w:szCs w:val="20"/>
        </w:rPr>
      </w:pPr>
      <w:r w:rsidRPr="005F30A2">
        <w:rPr>
          <w:rStyle w:val="TijelotekstaChar"/>
          <w:sz w:val="20"/>
          <w:szCs w:val="20"/>
        </w:rPr>
        <w:t>El médico o el médico especialista a quien hace referencia el artículo 25 de este Reglamento presenta al CPM la declaración de prestación de servicios de forma temporal u ocasional en la República de Croacia.</w:t>
      </w:r>
    </w:p>
    <w:p w14:paraId="73295D5F" w14:textId="77777777" w:rsidR="00052469" w:rsidRPr="005F30A2" w:rsidRDefault="00B47B10">
      <w:pPr>
        <w:pStyle w:val="Tijeloteksta"/>
        <w:numPr>
          <w:ilvl w:val="0"/>
          <w:numId w:val="29"/>
        </w:numPr>
        <w:tabs>
          <w:tab w:val="left" w:pos="370"/>
        </w:tabs>
        <w:jc w:val="both"/>
        <w:rPr>
          <w:sz w:val="20"/>
          <w:szCs w:val="20"/>
        </w:rPr>
      </w:pPr>
      <w:r w:rsidRPr="005F30A2">
        <w:rPr>
          <w:rStyle w:val="TijelotekstaChar"/>
          <w:sz w:val="20"/>
          <w:szCs w:val="20"/>
        </w:rPr>
        <w:t>El médico o el médico especialista quien presenta por la primera vez  la declaración a que hace referencia el primer apartado de este artículo, debe acompañar la declaración de la documentación siguiente:</w:t>
      </w:r>
    </w:p>
    <w:p w14:paraId="14EFFAA1" w14:textId="77777777" w:rsidR="00052469" w:rsidRPr="005F30A2" w:rsidRDefault="00B47B10">
      <w:pPr>
        <w:pStyle w:val="Tijeloteksta"/>
        <w:numPr>
          <w:ilvl w:val="0"/>
          <w:numId w:val="30"/>
        </w:numPr>
        <w:tabs>
          <w:tab w:val="left" w:pos="655"/>
        </w:tabs>
        <w:spacing w:after="0"/>
        <w:ind w:left="660" w:hanging="360"/>
        <w:jc w:val="both"/>
        <w:rPr>
          <w:sz w:val="20"/>
          <w:szCs w:val="20"/>
        </w:rPr>
      </w:pPr>
      <w:r w:rsidRPr="005F30A2">
        <w:rPr>
          <w:rStyle w:val="TijelotekstaChar"/>
          <w:sz w:val="20"/>
          <w:szCs w:val="20"/>
        </w:rPr>
        <w:t>la prueba de la nacionalidad (certificado de nacionalidad croata, pasaporte u otro documento de nacionalidad correspondiente o)</w:t>
      </w:r>
    </w:p>
    <w:p w14:paraId="556EA25E" w14:textId="77777777" w:rsidR="00052469" w:rsidRPr="005F30A2" w:rsidRDefault="00B47B10">
      <w:pPr>
        <w:pStyle w:val="Tijeloteksta"/>
        <w:numPr>
          <w:ilvl w:val="0"/>
          <w:numId w:val="30"/>
        </w:numPr>
        <w:tabs>
          <w:tab w:val="left" w:pos="655"/>
        </w:tabs>
        <w:spacing w:after="0"/>
        <w:ind w:left="660" w:hanging="360"/>
        <w:jc w:val="both"/>
        <w:rPr>
          <w:sz w:val="20"/>
          <w:szCs w:val="20"/>
        </w:rPr>
      </w:pPr>
      <w:r w:rsidRPr="005F30A2">
        <w:rPr>
          <w:rStyle w:val="TijelotekstaChar"/>
          <w:sz w:val="20"/>
          <w:szCs w:val="20"/>
        </w:rPr>
        <w:t>certificado de las autoridades competentes del país de origen que acredite que el solicitante está establecido, es decir que ejerce la profesión regulada del médico o del  médico especialista en un Estado Miembro de la UE, en un estado parte en el Acuerdo sobre el EEE o en la Confederación Suiza (puede servir de prueba el certificado del empleador, legalizada por la persona autorizadas de representación del empleador y revestida del sello del empleador)</w:t>
      </w:r>
    </w:p>
    <w:p w14:paraId="1057CC9D" w14:textId="77777777" w:rsidR="00052469" w:rsidRPr="005F30A2" w:rsidRDefault="00B47B10">
      <w:pPr>
        <w:pStyle w:val="Tijeloteksta"/>
        <w:numPr>
          <w:ilvl w:val="0"/>
          <w:numId w:val="30"/>
        </w:numPr>
        <w:tabs>
          <w:tab w:val="left" w:pos="655"/>
        </w:tabs>
        <w:spacing w:after="0"/>
        <w:ind w:left="660" w:hanging="360"/>
        <w:jc w:val="both"/>
        <w:rPr>
          <w:sz w:val="20"/>
          <w:szCs w:val="20"/>
        </w:rPr>
      </w:pPr>
      <w:r w:rsidRPr="005F30A2">
        <w:rPr>
          <w:rStyle w:val="TijelotekstaChar"/>
          <w:sz w:val="20"/>
          <w:szCs w:val="20"/>
        </w:rPr>
        <w:t xml:space="preserve">certificado de las autoridades competentes del país donde el solicitante está establecido que acredite que éste ejerce la profesión regulada del médico o del médico especialista en un Estado Miembro de la UE, en un estado parte en el Acuerdo sobre el EEE o en la Confederación Suiza y que no es objeto de ninguna prohibición que le impida ejercer su profesión, ni siquiera temporalmente, en el momento de presentar el certificado (así llamado </w:t>
      </w:r>
      <w:r w:rsidRPr="005F30A2">
        <w:rPr>
          <w:rStyle w:val="TijelotekstaChar"/>
          <w:i/>
          <w:sz w:val="20"/>
          <w:szCs w:val="20"/>
        </w:rPr>
        <w:t>Good Standing</w:t>
      </w:r>
      <w:r w:rsidRPr="005F30A2">
        <w:rPr>
          <w:rStyle w:val="TijelotekstaChar"/>
          <w:sz w:val="20"/>
          <w:szCs w:val="20"/>
        </w:rPr>
        <w:t xml:space="preserve"> o certificado de antecedentes penales expedido por la autoridad competente)</w:t>
      </w:r>
    </w:p>
    <w:p w14:paraId="13515C0F" w14:textId="77777777" w:rsidR="00052469" w:rsidRPr="005F30A2" w:rsidRDefault="00B47B10">
      <w:pPr>
        <w:pStyle w:val="Tijeloteksta"/>
        <w:numPr>
          <w:ilvl w:val="0"/>
          <w:numId w:val="30"/>
        </w:numPr>
        <w:tabs>
          <w:tab w:val="left" w:pos="655"/>
        </w:tabs>
        <w:ind w:left="660" w:hanging="360"/>
        <w:jc w:val="both"/>
      </w:pPr>
      <w:r w:rsidRPr="005F30A2">
        <w:rPr>
          <w:rStyle w:val="TijelotekstaChar"/>
        </w:rPr>
        <w:t>prueba de calificaciones profesionales - título de la facultad de medicina, prueba del examen de competencia profesional superado, prueba del examen de especialidad médica superado, prueba de examen de subespecialidad superado</w:t>
      </w:r>
      <w:r w:rsidRPr="005F30A2">
        <w:br w:type="page"/>
      </w:r>
    </w:p>
    <w:p w14:paraId="334567B1" w14:textId="77777777" w:rsidR="00052469" w:rsidRPr="005F30A2" w:rsidRDefault="00B47B10">
      <w:pPr>
        <w:pStyle w:val="Tijeloteksta"/>
        <w:numPr>
          <w:ilvl w:val="0"/>
          <w:numId w:val="30"/>
        </w:numPr>
        <w:tabs>
          <w:tab w:val="left" w:pos="670"/>
        </w:tabs>
        <w:spacing w:after="0"/>
        <w:ind w:left="660" w:hanging="360"/>
        <w:jc w:val="both"/>
        <w:rPr>
          <w:sz w:val="20"/>
          <w:szCs w:val="20"/>
        </w:rPr>
      </w:pPr>
      <w:r w:rsidRPr="005F30A2">
        <w:rPr>
          <w:rStyle w:val="TijelotekstaChar"/>
          <w:sz w:val="20"/>
          <w:szCs w:val="20"/>
        </w:rPr>
        <w:lastRenderedPageBreak/>
        <w:t>prueba de conocimiento del idioma croata expedida por una institución que haya obtenido su licencia según el Marco Común Europeo de Referencia para las Lenguas, como mínimo el nivel B2 (usuario avanzado), excepto si se trata de un médico quien se haya graduado en una de las facultades de medicina en la República de Croacia, siguiendo el programa en el idioma croata, o si ha terminado su enseñanza primaria o secundaria o una parte de la enseñanza en la República de Croacia o en el extranjero en el idioma croata</w:t>
      </w:r>
    </w:p>
    <w:p w14:paraId="08A7CCA4" w14:textId="77777777" w:rsidR="00052469" w:rsidRPr="005F30A2" w:rsidRDefault="00B47B10">
      <w:pPr>
        <w:pStyle w:val="Tijeloteksta"/>
        <w:numPr>
          <w:ilvl w:val="0"/>
          <w:numId w:val="30"/>
        </w:numPr>
        <w:tabs>
          <w:tab w:val="left" w:pos="670"/>
        </w:tabs>
        <w:spacing w:after="0"/>
        <w:ind w:left="660" w:hanging="360"/>
        <w:jc w:val="both"/>
        <w:rPr>
          <w:sz w:val="20"/>
          <w:szCs w:val="20"/>
        </w:rPr>
      </w:pPr>
      <w:r w:rsidRPr="005F30A2">
        <w:rPr>
          <w:rStyle w:val="TijelotekstaChar"/>
          <w:sz w:val="20"/>
          <w:szCs w:val="20"/>
        </w:rPr>
        <w:t>prueba que acredite las suscripción de una póliza de seguro de responsabilidad profesional, válida en el territorio de la República de Croacia en el periodo cuando el solicitante piensa ejercer la actividad de médico</w:t>
      </w:r>
    </w:p>
    <w:p w14:paraId="2862732A" w14:textId="77777777" w:rsidR="00052469" w:rsidRPr="005F30A2" w:rsidRDefault="00B47B10">
      <w:pPr>
        <w:pStyle w:val="Tijeloteksta"/>
        <w:numPr>
          <w:ilvl w:val="0"/>
          <w:numId w:val="30"/>
        </w:numPr>
        <w:tabs>
          <w:tab w:val="left" w:pos="670"/>
        </w:tabs>
        <w:spacing w:after="0"/>
        <w:ind w:left="660" w:hanging="360"/>
        <w:jc w:val="both"/>
        <w:rPr>
          <w:sz w:val="20"/>
          <w:szCs w:val="20"/>
        </w:rPr>
      </w:pPr>
      <w:r w:rsidRPr="005F30A2">
        <w:rPr>
          <w:rStyle w:val="TijelotekstaChar"/>
          <w:sz w:val="20"/>
          <w:szCs w:val="20"/>
        </w:rPr>
        <w:t>prueba de existencia del título profesional que el solicitante tenga en el estado de establecimiento</w:t>
      </w:r>
    </w:p>
    <w:p w14:paraId="63E8E5F3" w14:textId="77777777" w:rsidR="00052469" w:rsidRPr="005F30A2" w:rsidRDefault="00B47B10">
      <w:pPr>
        <w:pStyle w:val="Tijeloteksta"/>
        <w:numPr>
          <w:ilvl w:val="0"/>
          <w:numId w:val="30"/>
        </w:numPr>
        <w:tabs>
          <w:tab w:val="left" w:pos="670"/>
        </w:tabs>
        <w:ind w:left="660" w:hanging="360"/>
        <w:jc w:val="both"/>
        <w:rPr>
          <w:sz w:val="20"/>
          <w:szCs w:val="20"/>
        </w:rPr>
      </w:pPr>
      <w:r w:rsidRPr="005F30A2">
        <w:rPr>
          <w:rStyle w:val="TijelotekstaChar"/>
          <w:sz w:val="20"/>
          <w:szCs w:val="20"/>
        </w:rPr>
        <w:t>prueba del ejercicio de la actividad médica por lo menos un año en el transcurso de los diez años anteriores si en el estado de establecimiento esta actividad no es regulada.</w:t>
      </w:r>
    </w:p>
    <w:p w14:paraId="78CA975B" w14:textId="77777777" w:rsidR="00052469" w:rsidRPr="005F30A2" w:rsidRDefault="00B47B10">
      <w:pPr>
        <w:pStyle w:val="Tijeloteksta"/>
        <w:numPr>
          <w:ilvl w:val="0"/>
          <w:numId w:val="29"/>
        </w:numPr>
        <w:tabs>
          <w:tab w:val="left" w:pos="370"/>
        </w:tabs>
        <w:spacing w:after="0"/>
        <w:jc w:val="both"/>
        <w:rPr>
          <w:sz w:val="20"/>
          <w:szCs w:val="20"/>
        </w:rPr>
      </w:pPr>
      <w:r w:rsidRPr="005F30A2">
        <w:rPr>
          <w:rStyle w:val="TijelotekstaChar"/>
          <w:sz w:val="20"/>
          <w:szCs w:val="20"/>
        </w:rPr>
        <w:t>Además de los documentos a que hace referencia el apartado 2 de este artículo, el CPM puede solicitar otros documentos si:</w:t>
      </w:r>
    </w:p>
    <w:p w14:paraId="0F1D7679" w14:textId="77777777" w:rsidR="00052469" w:rsidRPr="005F30A2" w:rsidRDefault="00B47B10">
      <w:pPr>
        <w:pStyle w:val="Tijeloteksta"/>
        <w:numPr>
          <w:ilvl w:val="0"/>
          <w:numId w:val="31"/>
        </w:numPr>
        <w:tabs>
          <w:tab w:val="left" w:pos="963"/>
        </w:tabs>
        <w:spacing w:after="0"/>
        <w:ind w:firstLine="660"/>
        <w:jc w:val="both"/>
        <w:rPr>
          <w:sz w:val="20"/>
          <w:szCs w:val="20"/>
        </w:rPr>
      </w:pPr>
      <w:r w:rsidRPr="005F30A2">
        <w:rPr>
          <w:rStyle w:val="TijelotekstaChar"/>
          <w:sz w:val="20"/>
          <w:szCs w:val="20"/>
        </w:rPr>
        <w:t>estos documentos son exigidos y de los nacionales croatas</w:t>
      </w:r>
    </w:p>
    <w:p w14:paraId="7856AF89" w14:textId="77777777" w:rsidR="00052469" w:rsidRPr="005F30A2" w:rsidRDefault="00B47B10">
      <w:pPr>
        <w:pStyle w:val="Tijeloteksta"/>
        <w:numPr>
          <w:ilvl w:val="0"/>
          <w:numId w:val="31"/>
        </w:numPr>
        <w:tabs>
          <w:tab w:val="left" w:pos="982"/>
        </w:tabs>
        <w:spacing w:after="0"/>
        <w:ind w:firstLine="660"/>
        <w:jc w:val="both"/>
        <w:rPr>
          <w:sz w:val="20"/>
          <w:szCs w:val="20"/>
        </w:rPr>
      </w:pPr>
      <w:r w:rsidRPr="005F30A2">
        <w:rPr>
          <w:rStyle w:val="TijelotekstaChar"/>
          <w:sz w:val="20"/>
          <w:szCs w:val="20"/>
        </w:rPr>
        <w:t>no es posible obtenerlos de otro modo</w:t>
      </w:r>
    </w:p>
    <w:p w14:paraId="309901B9" w14:textId="681B71D4" w:rsidR="00052469" w:rsidRPr="005F30A2" w:rsidRDefault="00B47B10">
      <w:pPr>
        <w:pStyle w:val="Tijeloteksta"/>
        <w:numPr>
          <w:ilvl w:val="0"/>
          <w:numId w:val="31"/>
        </w:numPr>
        <w:tabs>
          <w:tab w:val="left" w:pos="949"/>
        </w:tabs>
        <w:spacing w:after="0"/>
        <w:ind w:firstLine="660"/>
        <w:jc w:val="both"/>
        <w:rPr>
          <w:sz w:val="20"/>
          <w:szCs w:val="20"/>
        </w:rPr>
      </w:pPr>
      <w:r w:rsidRPr="005F30A2">
        <w:rPr>
          <w:rStyle w:val="TijelotekstaChar"/>
          <w:sz w:val="20"/>
          <w:szCs w:val="20"/>
        </w:rPr>
        <w:t xml:space="preserve">la </w:t>
      </w:r>
      <w:r w:rsidR="005F30A2" w:rsidRPr="005F30A2">
        <w:rPr>
          <w:rStyle w:val="TijelotekstaChar"/>
          <w:sz w:val="20"/>
          <w:szCs w:val="20"/>
        </w:rPr>
        <w:t>profesión</w:t>
      </w:r>
      <w:r w:rsidRPr="005F30A2">
        <w:rPr>
          <w:rStyle w:val="TijelotekstaChar"/>
          <w:sz w:val="20"/>
          <w:szCs w:val="20"/>
        </w:rPr>
        <w:t xml:space="preserve"> es regulada de manera diferente en ciertas partes del territorio nacional o</w:t>
      </w:r>
    </w:p>
    <w:p w14:paraId="78E3DFDC" w14:textId="499BD7D8" w:rsidR="00052469" w:rsidRPr="005F30A2" w:rsidRDefault="00B47B10">
      <w:pPr>
        <w:pStyle w:val="Tijeloteksta"/>
        <w:numPr>
          <w:ilvl w:val="0"/>
          <w:numId w:val="31"/>
        </w:numPr>
        <w:tabs>
          <w:tab w:val="left" w:pos="992"/>
        </w:tabs>
        <w:ind w:left="660"/>
        <w:jc w:val="both"/>
        <w:rPr>
          <w:sz w:val="20"/>
          <w:szCs w:val="20"/>
        </w:rPr>
      </w:pPr>
      <w:r w:rsidRPr="005F30A2">
        <w:rPr>
          <w:rStyle w:val="TijelotekstaChar"/>
          <w:sz w:val="20"/>
          <w:szCs w:val="20"/>
        </w:rPr>
        <w:t>las diferencias entre las legislaciones son justificadas por razones imperiosas de interés general</w:t>
      </w:r>
      <w:r w:rsidR="005F30A2">
        <w:rPr>
          <w:rStyle w:val="TijelotekstaChar"/>
          <w:sz w:val="20"/>
          <w:szCs w:val="20"/>
        </w:rPr>
        <w:t>,</w:t>
      </w:r>
      <w:r w:rsidRPr="005F30A2">
        <w:rPr>
          <w:rStyle w:val="TijelotekstaChar"/>
          <w:sz w:val="20"/>
          <w:szCs w:val="20"/>
        </w:rPr>
        <w:t xml:space="preserve"> </w:t>
      </w:r>
      <w:r w:rsidR="005F30A2" w:rsidRPr="005F30A2">
        <w:rPr>
          <w:rStyle w:val="TijelotekstaChar"/>
          <w:sz w:val="20"/>
          <w:szCs w:val="20"/>
        </w:rPr>
        <w:t>relativas</w:t>
      </w:r>
      <w:r w:rsidRPr="005F30A2">
        <w:rPr>
          <w:rStyle w:val="TijelotekstaChar"/>
          <w:sz w:val="20"/>
          <w:szCs w:val="20"/>
        </w:rPr>
        <w:t xml:space="preserve"> </w:t>
      </w:r>
      <w:r w:rsidR="005F30A2" w:rsidRPr="005F30A2">
        <w:rPr>
          <w:rStyle w:val="TijelotekstaChar"/>
          <w:sz w:val="20"/>
          <w:szCs w:val="20"/>
        </w:rPr>
        <w:t>a la</w:t>
      </w:r>
      <w:r w:rsidRPr="005F30A2">
        <w:rPr>
          <w:rStyle w:val="TijelotekstaChar"/>
          <w:sz w:val="20"/>
          <w:szCs w:val="20"/>
        </w:rPr>
        <w:t xml:space="preserve"> salud público o la seguridad de los destinatarios del servicio.</w:t>
      </w:r>
    </w:p>
    <w:p w14:paraId="590FE9F7" w14:textId="77777777" w:rsidR="00052469" w:rsidRPr="005F30A2" w:rsidRDefault="00B47B10">
      <w:pPr>
        <w:pStyle w:val="Tijeloteksta"/>
        <w:numPr>
          <w:ilvl w:val="0"/>
          <w:numId w:val="32"/>
        </w:numPr>
        <w:tabs>
          <w:tab w:val="left" w:pos="380"/>
        </w:tabs>
        <w:jc w:val="both"/>
        <w:rPr>
          <w:sz w:val="20"/>
          <w:szCs w:val="20"/>
        </w:rPr>
      </w:pPr>
      <w:r w:rsidRPr="005F30A2">
        <w:rPr>
          <w:rStyle w:val="TijelotekstaChar"/>
          <w:sz w:val="20"/>
          <w:szCs w:val="20"/>
        </w:rPr>
        <w:t>La declaración se presenta para cada año en el que el médico tiene la intención de prestar servicios temporales u ocasionales en la República de Croacia.</w:t>
      </w:r>
    </w:p>
    <w:p w14:paraId="528F8A10" w14:textId="77777777" w:rsidR="00052469" w:rsidRPr="005F30A2" w:rsidRDefault="00B47B10">
      <w:pPr>
        <w:pStyle w:val="Tijeloteksta"/>
        <w:numPr>
          <w:ilvl w:val="0"/>
          <w:numId w:val="32"/>
        </w:numPr>
        <w:tabs>
          <w:tab w:val="left" w:pos="380"/>
        </w:tabs>
        <w:spacing w:after="600"/>
        <w:jc w:val="both"/>
        <w:rPr>
          <w:sz w:val="20"/>
          <w:szCs w:val="20"/>
        </w:rPr>
      </w:pPr>
      <w:r w:rsidRPr="005F30A2">
        <w:rPr>
          <w:rStyle w:val="TijelotekstaChar"/>
          <w:sz w:val="20"/>
          <w:szCs w:val="20"/>
        </w:rPr>
        <w:t>En caso de duda razonable en la autenticidad de la documentación a que se hace referencia en el apartado 2 de este artículo, el CPM puede reclamar de las autoridades competentes la verificación de la autenticidad de las pruebas y de la acreditación de centros de enseñanza superior y de los programas de capacitación, pudiendo hacer la verificación de la documentación mediante el sistema IMI, en las condiciones establecidas en la Ley de profesiones reguladas y de reconocimiento de cualificaciones profesionales extranjeras.</w:t>
      </w:r>
    </w:p>
    <w:p w14:paraId="67B05FC7" w14:textId="77777777" w:rsidR="00052469" w:rsidRPr="005F30A2" w:rsidRDefault="00B47B10">
      <w:pPr>
        <w:pStyle w:val="Tijeloteksta"/>
        <w:jc w:val="center"/>
        <w:rPr>
          <w:sz w:val="20"/>
          <w:szCs w:val="20"/>
        </w:rPr>
      </w:pPr>
      <w:r w:rsidRPr="005F30A2">
        <w:rPr>
          <w:rStyle w:val="TijelotekstaChar"/>
          <w:sz w:val="20"/>
          <w:szCs w:val="20"/>
        </w:rPr>
        <w:t>Artículo 27</w:t>
      </w:r>
    </w:p>
    <w:p w14:paraId="74573892" w14:textId="77777777" w:rsidR="00052469" w:rsidRPr="005F30A2" w:rsidRDefault="00B47B10">
      <w:pPr>
        <w:pStyle w:val="Tijeloteksta"/>
        <w:numPr>
          <w:ilvl w:val="0"/>
          <w:numId w:val="33"/>
        </w:numPr>
        <w:tabs>
          <w:tab w:val="left" w:pos="390"/>
        </w:tabs>
        <w:spacing w:after="0" w:line="252" w:lineRule="auto"/>
        <w:jc w:val="both"/>
        <w:rPr>
          <w:sz w:val="20"/>
          <w:szCs w:val="20"/>
        </w:rPr>
      </w:pPr>
      <w:r w:rsidRPr="005F30A2">
        <w:rPr>
          <w:rStyle w:val="TijelotekstaChar"/>
          <w:sz w:val="20"/>
          <w:szCs w:val="20"/>
        </w:rPr>
        <w:t>El declarante quien, trascurrido el plazo de un año, vuelve a presentar la declaración de prestación de servicios de forma temporal u ocasional en la República de Croacia para el año siguiente, debe:</w:t>
      </w:r>
    </w:p>
    <w:p w14:paraId="51222CBA" w14:textId="77777777" w:rsidR="00052469" w:rsidRPr="005F30A2" w:rsidRDefault="00B47B10">
      <w:pPr>
        <w:pStyle w:val="Tijeloteksta"/>
        <w:numPr>
          <w:ilvl w:val="0"/>
          <w:numId w:val="34"/>
        </w:numPr>
        <w:tabs>
          <w:tab w:val="left" w:pos="670"/>
        </w:tabs>
        <w:spacing w:after="0" w:line="252" w:lineRule="auto"/>
        <w:ind w:left="740" w:hanging="360"/>
        <w:jc w:val="both"/>
        <w:rPr>
          <w:sz w:val="20"/>
          <w:szCs w:val="20"/>
        </w:rPr>
      </w:pPr>
      <w:r w:rsidRPr="005F30A2">
        <w:rPr>
          <w:rStyle w:val="TijelotekstaChar"/>
          <w:sz w:val="20"/>
          <w:szCs w:val="20"/>
        </w:rPr>
        <w:t>presentar la declaración para el reconocimiento de cualificaciones profesionales extranjeras en un formulario normalizado</w:t>
      </w:r>
    </w:p>
    <w:p w14:paraId="271AC6CB" w14:textId="77777777" w:rsidR="00052469" w:rsidRPr="005F30A2" w:rsidRDefault="00B47B10">
      <w:pPr>
        <w:pStyle w:val="Tijeloteksta"/>
        <w:numPr>
          <w:ilvl w:val="0"/>
          <w:numId w:val="34"/>
        </w:numPr>
        <w:tabs>
          <w:tab w:val="left" w:pos="730"/>
        </w:tabs>
        <w:spacing w:after="0" w:line="252" w:lineRule="auto"/>
        <w:ind w:firstLine="380"/>
        <w:jc w:val="both"/>
        <w:rPr>
          <w:sz w:val="20"/>
          <w:szCs w:val="20"/>
        </w:rPr>
      </w:pPr>
      <w:r w:rsidRPr="005F30A2">
        <w:rPr>
          <w:rStyle w:val="TijelotekstaChar"/>
          <w:sz w:val="20"/>
          <w:szCs w:val="20"/>
        </w:rPr>
        <w:t>acompañar la declaración de la documentación siguiente:</w:t>
      </w:r>
    </w:p>
    <w:p w14:paraId="494930D0" w14:textId="77777777" w:rsidR="00052469" w:rsidRPr="005F30A2" w:rsidRDefault="00B47B10">
      <w:pPr>
        <w:pStyle w:val="Tijeloteksta"/>
        <w:numPr>
          <w:ilvl w:val="0"/>
          <w:numId w:val="35"/>
        </w:numPr>
        <w:tabs>
          <w:tab w:val="left" w:pos="1518"/>
        </w:tabs>
        <w:spacing w:after="0" w:line="252" w:lineRule="auto"/>
        <w:ind w:left="1460" w:hanging="360"/>
        <w:jc w:val="both"/>
        <w:rPr>
          <w:sz w:val="20"/>
          <w:szCs w:val="20"/>
        </w:rPr>
      </w:pPr>
      <w:r w:rsidRPr="005F30A2">
        <w:rPr>
          <w:rStyle w:val="TijelotekstaChar"/>
          <w:sz w:val="20"/>
          <w:szCs w:val="20"/>
        </w:rPr>
        <w:t>certificado de las autoridades competentes del país de origen que acredite que el solicitante está establecido, es decir que ejerce la actividad médica en un Estado Miembro de la UE, en un estado parte en el Acuerdo sobre el EEE o en la Confederación Suiza (puede servir de prueba el certificado del empleador, legalizada por la persona autorizadas de representación del empleador y revestida del sello del empleador)</w:t>
      </w:r>
    </w:p>
    <w:p w14:paraId="17E277F4" w14:textId="77777777" w:rsidR="00052469" w:rsidRPr="005F30A2" w:rsidRDefault="00B47B10">
      <w:pPr>
        <w:pStyle w:val="Tijeloteksta"/>
        <w:numPr>
          <w:ilvl w:val="0"/>
          <w:numId w:val="35"/>
        </w:numPr>
        <w:tabs>
          <w:tab w:val="left" w:pos="1518"/>
        </w:tabs>
        <w:spacing w:line="252" w:lineRule="auto"/>
        <w:ind w:left="1460" w:hanging="360"/>
        <w:jc w:val="both"/>
        <w:rPr>
          <w:sz w:val="20"/>
          <w:szCs w:val="20"/>
        </w:rPr>
      </w:pPr>
      <w:r w:rsidRPr="005F30A2">
        <w:rPr>
          <w:rStyle w:val="TijelotekstaChar"/>
          <w:sz w:val="20"/>
          <w:szCs w:val="20"/>
        </w:rPr>
        <w:t>certificado de las autoridades competentes del país donde el solicitante está establecido que acredite que éste ejerce la profesión regulada del médico o del médico especialista en un Estado Miembro de la UE, en un estado parte en el Acuerdo sobre</w:t>
      </w:r>
      <w:r w:rsidRPr="005F30A2">
        <w:rPr>
          <w:sz w:val="20"/>
          <w:szCs w:val="20"/>
        </w:rPr>
        <w:br w:type="page"/>
      </w:r>
    </w:p>
    <w:p w14:paraId="66207DB1" w14:textId="77777777" w:rsidR="00052469" w:rsidRPr="005F30A2" w:rsidRDefault="00B47B10">
      <w:pPr>
        <w:pStyle w:val="Tijeloteksta"/>
        <w:spacing w:after="0" w:line="254" w:lineRule="auto"/>
        <w:ind w:left="1460"/>
        <w:jc w:val="both"/>
      </w:pPr>
      <w:r w:rsidRPr="005F30A2">
        <w:rPr>
          <w:rStyle w:val="TijelotekstaChar"/>
        </w:rPr>
        <w:lastRenderedPageBreak/>
        <w:t xml:space="preserve"> el EEE o en la Confederación Suiza y que no es objeto de ninguna prohibición que le impida ejercer su profesión, ni siquiera temporalmente, en el momento de presentar el certificado (así llamado </w:t>
      </w:r>
      <w:r w:rsidRPr="005F30A2">
        <w:rPr>
          <w:rStyle w:val="TijelotekstaChar"/>
          <w:i/>
        </w:rPr>
        <w:t>Good Standing</w:t>
      </w:r>
      <w:r w:rsidRPr="005F30A2">
        <w:rPr>
          <w:rStyle w:val="TijelotekstaChar"/>
        </w:rPr>
        <w:t xml:space="preserve"> o certificado de antecedentes penales expedido por la autoridad competente)</w:t>
      </w:r>
    </w:p>
    <w:p w14:paraId="0782D608" w14:textId="77777777" w:rsidR="00052469" w:rsidRPr="005F30A2" w:rsidRDefault="00B47B10">
      <w:pPr>
        <w:pStyle w:val="Tijeloteksta"/>
        <w:numPr>
          <w:ilvl w:val="0"/>
          <w:numId w:val="35"/>
        </w:numPr>
        <w:tabs>
          <w:tab w:val="left" w:pos="1455"/>
        </w:tabs>
        <w:spacing w:after="0" w:line="254" w:lineRule="auto"/>
        <w:ind w:left="1460" w:hanging="360"/>
        <w:jc w:val="both"/>
      </w:pPr>
      <w:r w:rsidRPr="005F30A2">
        <w:rPr>
          <w:rStyle w:val="TijelotekstaChar"/>
        </w:rPr>
        <w:t>prueba que acredite las suscripción de una póliza de seguro de responsabilidad profesional, válida en el territorio de la República de Croacia en el periodo cuando el solicitante piensa ejercer la actividad regulada</w:t>
      </w:r>
    </w:p>
    <w:p w14:paraId="4159A582" w14:textId="77777777" w:rsidR="00052469" w:rsidRPr="005F30A2" w:rsidRDefault="00B47B10">
      <w:pPr>
        <w:pStyle w:val="Tijeloteksta"/>
        <w:numPr>
          <w:ilvl w:val="0"/>
          <w:numId w:val="35"/>
        </w:numPr>
        <w:tabs>
          <w:tab w:val="left" w:pos="1455"/>
        </w:tabs>
        <w:spacing w:after="620" w:line="254" w:lineRule="auto"/>
        <w:ind w:left="1100"/>
        <w:jc w:val="both"/>
      </w:pPr>
      <w:r w:rsidRPr="005F30A2">
        <w:rPr>
          <w:rStyle w:val="TijelotekstaChar"/>
        </w:rPr>
        <w:t>pruebas necesarias en el caso de modificación de la legislación.</w:t>
      </w:r>
    </w:p>
    <w:p w14:paraId="272F3356" w14:textId="77777777" w:rsidR="00052469" w:rsidRPr="005F30A2" w:rsidRDefault="00B47B10">
      <w:pPr>
        <w:pStyle w:val="Tijeloteksta"/>
        <w:spacing w:after="300"/>
        <w:jc w:val="center"/>
      </w:pPr>
      <w:r w:rsidRPr="005F30A2">
        <w:rPr>
          <w:rStyle w:val="TijelotekstaChar"/>
        </w:rPr>
        <w:t>Artículo 28</w:t>
      </w:r>
    </w:p>
    <w:p w14:paraId="58D12C2E" w14:textId="77777777" w:rsidR="00052469" w:rsidRPr="005F30A2" w:rsidRDefault="00B47B10">
      <w:pPr>
        <w:pStyle w:val="Tijeloteksta"/>
        <w:spacing w:after="300"/>
        <w:jc w:val="both"/>
      </w:pPr>
      <w:r w:rsidRPr="005F30A2">
        <w:rPr>
          <w:rStyle w:val="TijelotekstaChar"/>
        </w:rPr>
        <w:t>El declarante está obligado a notificar al CPM, sin demora, cualquier tipo de modificación en relación con las condiciones  que sirvieron de fundamento para la autorización de la prestación del servicio ejerciendo la actividad médica de forma temporal u ocasional.</w:t>
      </w:r>
    </w:p>
    <w:p w14:paraId="6B98B48E" w14:textId="77777777" w:rsidR="00052469" w:rsidRPr="005F30A2" w:rsidRDefault="00B47B10">
      <w:pPr>
        <w:pStyle w:val="Tijeloteksta"/>
        <w:spacing w:after="300"/>
        <w:jc w:val="center"/>
      </w:pPr>
      <w:r w:rsidRPr="005F30A2">
        <w:rPr>
          <w:rStyle w:val="TijelotekstaChar"/>
        </w:rPr>
        <w:t>Artículo 29</w:t>
      </w:r>
    </w:p>
    <w:p w14:paraId="5C538F3D" w14:textId="77777777" w:rsidR="00052469" w:rsidRPr="005F30A2" w:rsidRDefault="00B47B10">
      <w:pPr>
        <w:pStyle w:val="Tijeloteksta"/>
        <w:spacing w:after="300"/>
        <w:jc w:val="both"/>
      </w:pPr>
      <w:r w:rsidRPr="005F30A2">
        <w:rPr>
          <w:rStyle w:val="TijelotekstaChar"/>
        </w:rPr>
        <w:t>El médico o el médico especialista no puede prestar servicios ejerciendo la profesión regulada en la República de Croacia y no tiene derecho estar registrada de forma temporal:</w:t>
      </w:r>
    </w:p>
    <w:p w14:paraId="0CAB077B" w14:textId="77777777" w:rsidR="00052469" w:rsidRPr="005F30A2" w:rsidRDefault="00B47B10">
      <w:pPr>
        <w:pStyle w:val="Tijeloteksta"/>
        <w:numPr>
          <w:ilvl w:val="0"/>
          <w:numId w:val="36"/>
        </w:numPr>
        <w:tabs>
          <w:tab w:val="left" w:pos="311"/>
        </w:tabs>
        <w:spacing w:after="0"/>
        <w:jc w:val="both"/>
      </w:pPr>
      <w:r w:rsidRPr="005F30A2">
        <w:rPr>
          <w:rStyle w:val="TijelotekstaChar"/>
        </w:rPr>
        <w:t>si se establece en la República de Croacia con el fin de ejercer la profesión regulada o</w:t>
      </w:r>
    </w:p>
    <w:p w14:paraId="184AB7E0" w14:textId="77777777" w:rsidR="00052469" w:rsidRPr="005F30A2" w:rsidRDefault="00B47B10">
      <w:pPr>
        <w:pStyle w:val="Tijeloteksta"/>
        <w:numPr>
          <w:ilvl w:val="0"/>
          <w:numId w:val="36"/>
        </w:numPr>
        <w:tabs>
          <w:tab w:val="left" w:pos="330"/>
        </w:tabs>
        <w:spacing w:after="300"/>
        <w:jc w:val="both"/>
      </w:pPr>
      <w:r w:rsidRPr="005F30A2">
        <w:rPr>
          <w:rStyle w:val="TijelotekstaChar"/>
        </w:rPr>
        <w:t>si, de acuerdo a la decisión de la autoridad competente del Estado Miembro de establecimiento le ha sido suspendido el derecho de establecimiento o si ha sido objeto de la prohibición que le impida ejercer temporalmente su profesión en el Estado Miembro.</w:t>
      </w:r>
    </w:p>
    <w:p w14:paraId="057CDD14" w14:textId="77777777" w:rsidR="00052469" w:rsidRPr="005F30A2" w:rsidRDefault="00B47B10">
      <w:pPr>
        <w:pStyle w:val="Tijeloteksta"/>
        <w:spacing w:after="300"/>
        <w:jc w:val="center"/>
      </w:pPr>
      <w:r w:rsidRPr="005F30A2">
        <w:rPr>
          <w:rStyle w:val="TijelotekstaChar"/>
        </w:rPr>
        <w:t>Artículo 30</w:t>
      </w:r>
    </w:p>
    <w:p w14:paraId="2239ED6F" w14:textId="77777777" w:rsidR="00052469" w:rsidRPr="005F30A2" w:rsidRDefault="00B47B10">
      <w:pPr>
        <w:pStyle w:val="Tijeloteksta"/>
        <w:spacing w:after="300"/>
        <w:jc w:val="both"/>
      </w:pPr>
      <w:r w:rsidRPr="005F30A2">
        <w:rPr>
          <w:rStyle w:val="TijelotekstaChar"/>
        </w:rPr>
        <w:t>Al declarante quien cumple con los requisitos previstos por la Ley de profesiones reguladas y de reconocimiento de cualificaciones profesionales extranjeras el CPM puede, dentro de 30 días desde la fecha de presentación de la declaración, autorizar la inscripción temporal para la prestación de servicios de forma temporal u ocasiona durante el periodo de un año, es decir durante el periodo cubierto por la póliza de seguro de responsabilidad profesional.</w:t>
      </w:r>
    </w:p>
    <w:p w14:paraId="23567266" w14:textId="77777777" w:rsidR="00052469" w:rsidRPr="005F30A2" w:rsidRDefault="00B47B10">
      <w:pPr>
        <w:pStyle w:val="Tijeloteksta"/>
        <w:spacing w:after="300"/>
        <w:jc w:val="center"/>
      </w:pPr>
      <w:r w:rsidRPr="005F30A2">
        <w:rPr>
          <w:rStyle w:val="TijelotekstaChar"/>
        </w:rPr>
        <w:t>Artículo 31</w:t>
      </w:r>
    </w:p>
    <w:p w14:paraId="466F79F0" w14:textId="6C35CD8E" w:rsidR="00052469" w:rsidRPr="005F30A2" w:rsidRDefault="00B47B10">
      <w:pPr>
        <w:pStyle w:val="Tijeloteksta"/>
        <w:spacing w:after="580"/>
        <w:jc w:val="both"/>
      </w:pPr>
      <w:r w:rsidRPr="005F30A2">
        <w:rPr>
          <w:rStyle w:val="TijelotekstaChar"/>
        </w:rPr>
        <w:t xml:space="preserve">El CPM está obligado remitir al ministerio competente del trabajo y a los Estados Miembros de establecimiento de las personas quienes hayan presentado la declaración para la prestación de servicios de forma temporal u ocasional, los datos del número total de declaraciones recibidas de prestación de servicios de forma temporal u </w:t>
      </w:r>
      <w:r w:rsidR="005F30A2" w:rsidRPr="005F30A2">
        <w:rPr>
          <w:rStyle w:val="TijelotekstaChar"/>
        </w:rPr>
        <w:t>ocasional</w:t>
      </w:r>
      <w:r w:rsidRPr="005F30A2">
        <w:rPr>
          <w:rStyle w:val="TijelotekstaChar"/>
        </w:rPr>
        <w:t>, una vez al año, y a más tardar antes el 30 de abril del año corriente para el año natural precedente.</w:t>
      </w:r>
    </w:p>
    <w:p w14:paraId="3DA5BF95" w14:textId="77777777" w:rsidR="00052469" w:rsidRPr="005F30A2" w:rsidRDefault="00B47B10">
      <w:pPr>
        <w:pStyle w:val="Heading20"/>
        <w:keepNext/>
        <w:keepLines/>
      </w:pPr>
      <w:bookmarkStart w:id="6" w:name="bookmark10"/>
      <w:r w:rsidRPr="005F30A2">
        <w:rPr>
          <w:rStyle w:val="Heading2"/>
          <w:b/>
        </w:rPr>
        <w:t>V. CUALIFICACIONES PROFESIONALES QUE NO  SON OBJETO DEL RECONOCIMIENTO DE CUALIFICACIONES PROFESIONALES EXTRANJERAS</w:t>
      </w:r>
      <w:bookmarkEnd w:id="6"/>
      <w:r w:rsidRPr="005F30A2">
        <w:br w:type="page"/>
      </w:r>
    </w:p>
    <w:p w14:paraId="1AB39757" w14:textId="77777777" w:rsidR="00052469" w:rsidRPr="005F30A2" w:rsidRDefault="00B47B10">
      <w:pPr>
        <w:pStyle w:val="Tijeloteksta"/>
        <w:spacing w:after="320"/>
        <w:jc w:val="center"/>
      </w:pPr>
      <w:r w:rsidRPr="005F30A2">
        <w:rPr>
          <w:rStyle w:val="TijelotekstaChar"/>
        </w:rPr>
        <w:lastRenderedPageBreak/>
        <w:t>Artículo 32</w:t>
      </w:r>
    </w:p>
    <w:p w14:paraId="76C1A0C5" w14:textId="77777777" w:rsidR="00052469" w:rsidRPr="005F30A2" w:rsidRDefault="00B47B10">
      <w:pPr>
        <w:pStyle w:val="Tijeloteksta"/>
        <w:numPr>
          <w:ilvl w:val="0"/>
          <w:numId w:val="37"/>
        </w:numPr>
        <w:tabs>
          <w:tab w:val="left" w:pos="380"/>
        </w:tabs>
        <w:jc w:val="both"/>
      </w:pPr>
      <w:r w:rsidRPr="005F30A2">
        <w:rPr>
          <w:rStyle w:val="TijelotekstaChar"/>
        </w:rPr>
        <w:t>Pruebas detenidas por los médicos o los médicos especialistas que acrediten la educación formal superada y, si fuera necesario, la formación profesional, expedidas por una autoridad competente en el territorio de la ex-Yugoslavia antes el 8 de octubre de 1991, son equivalentes, en cuanto a la fuerza jurídica, a los títulos, certificados y otros documentos públicos expedidos por las autoridades competentes de la República de Croacia y no son objeto una verificación dentro del procedimiento de reconocimiento de cualificaciones profesionales extranjeras.</w:t>
      </w:r>
    </w:p>
    <w:p w14:paraId="7D41A04C" w14:textId="4E10D177" w:rsidR="00052469" w:rsidRPr="005F30A2" w:rsidRDefault="00B47B10">
      <w:pPr>
        <w:pStyle w:val="Tijeloteksta"/>
        <w:numPr>
          <w:ilvl w:val="0"/>
          <w:numId w:val="37"/>
        </w:numPr>
        <w:tabs>
          <w:tab w:val="left" w:pos="385"/>
        </w:tabs>
        <w:spacing w:after="580"/>
        <w:jc w:val="both"/>
      </w:pPr>
      <w:r w:rsidRPr="005F30A2">
        <w:rPr>
          <w:rStyle w:val="TijelotekstaChar"/>
        </w:rPr>
        <w:t xml:space="preserve">El CPM remitirá a los médicos o </w:t>
      </w:r>
      <w:r w:rsidR="005F30A2" w:rsidRPr="005F30A2">
        <w:rPr>
          <w:rStyle w:val="TijelotekstaChar"/>
        </w:rPr>
        <w:t>a los médicos</w:t>
      </w:r>
      <w:r w:rsidRPr="005F30A2">
        <w:rPr>
          <w:rStyle w:val="TijelotekstaChar"/>
        </w:rPr>
        <w:t xml:space="preserve"> especialistas al ministerio competente de salud para que obtengan el certificado de equivalencia de la fuerza jurídica de documentos públicos que los nacionales croatas o extranjeros hayan obtenido en las repúblicas de la ex-Yugoslavia antes el 8 de octubre de 1991.</w:t>
      </w:r>
    </w:p>
    <w:p w14:paraId="59AF71D4" w14:textId="77777777" w:rsidR="00052469" w:rsidRPr="005F30A2" w:rsidRDefault="00B47B10">
      <w:pPr>
        <w:pStyle w:val="Heading20"/>
        <w:keepNext/>
        <w:keepLines/>
        <w:spacing w:after="280"/>
      </w:pPr>
      <w:bookmarkStart w:id="7" w:name="bookmark12"/>
      <w:r w:rsidRPr="005F30A2">
        <w:rPr>
          <w:rStyle w:val="Heading2"/>
          <w:b/>
        </w:rPr>
        <w:t xml:space="preserve">VI. EMPLEO DE TÍTULOS PROFESIONALES Y DE LOS TÍTULOS OBTENIDOS DESPUÉS DE HABER CURSADO CON ÉXITO UN CICLO DE ENSEÑANZA SUPERIOR </w:t>
      </w:r>
      <w:bookmarkEnd w:id="7"/>
    </w:p>
    <w:p w14:paraId="3AAEB359" w14:textId="77777777" w:rsidR="00052469" w:rsidRPr="005F30A2" w:rsidRDefault="00B47B10">
      <w:pPr>
        <w:pStyle w:val="Tijeloteksta"/>
        <w:numPr>
          <w:ilvl w:val="0"/>
          <w:numId w:val="38"/>
        </w:numPr>
        <w:tabs>
          <w:tab w:val="left" w:pos="351"/>
        </w:tabs>
        <w:jc w:val="center"/>
      </w:pPr>
      <w:r w:rsidRPr="005F30A2">
        <w:rPr>
          <w:rStyle w:val="TijelotekstaChar"/>
        </w:rPr>
        <w:t>Artículo 33</w:t>
      </w:r>
    </w:p>
    <w:p w14:paraId="5B23354C" w14:textId="77777777" w:rsidR="00052469" w:rsidRPr="005F30A2" w:rsidRDefault="00B47B10">
      <w:pPr>
        <w:pStyle w:val="Tijeloteksta"/>
        <w:numPr>
          <w:ilvl w:val="0"/>
          <w:numId w:val="39"/>
        </w:numPr>
        <w:tabs>
          <w:tab w:val="left" w:pos="380"/>
        </w:tabs>
        <w:jc w:val="both"/>
      </w:pPr>
      <w:r w:rsidRPr="005F30A2">
        <w:rPr>
          <w:rStyle w:val="TijelotekstaChar"/>
        </w:rPr>
        <w:t>Al empleo de los títulos, es decir de los títulos profesionales y académicos, obtenidos después de haber cursado con éxito un ciclo de enseñanza superior, se aplica lo dispuesto en la Ley de profesiones reguladas y de reconocimiento de cualificaciones profesionales extranjeras.</w:t>
      </w:r>
    </w:p>
    <w:p w14:paraId="70C087E3" w14:textId="77777777" w:rsidR="00052469" w:rsidRPr="005F30A2" w:rsidRDefault="00B47B10">
      <w:pPr>
        <w:pStyle w:val="Tijeloteksta"/>
        <w:numPr>
          <w:ilvl w:val="0"/>
          <w:numId w:val="39"/>
        </w:numPr>
        <w:tabs>
          <w:tab w:val="left" w:pos="380"/>
        </w:tabs>
        <w:jc w:val="both"/>
      </w:pPr>
      <w:r w:rsidRPr="005F30A2">
        <w:rPr>
          <w:rStyle w:val="TijelotekstaChar"/>
        </w:rPr>
        <w:t>En la decisión tomada por el CPM dentro de sus competencias, en el procedimiento del régimen general de reconocimiento de cualificaciones profesionales extranjeras, el solicitante ejerce el derecho de emplear el título profesional del médico, que en la República de Croacia está idéntico al título profesional y académico obtenido siendo uno titular de la cualificación académica en la enseñanza superior.</w:t>
      </w:r>
    </w:p>
    <w:p w14:paraId="252A0328" w14:textId="77777777" w:rsidR="00052469" w:rsidRPr="005F30A2" w:rsidRDefault="00B47B10">
      <w:pPr>
        <w:pStyle w:val="Tijeloteksta"/>
        <w:numPr>
          <w:ilvl w:val="0"/>
          <w:numId w:val="39"/>
        </w:numPr>
        <w:tabs>
          <w:tab w:val="left" w:pos="380"/>
        </w:tabs>
        <w:spacing w:after="580"/>
        <w:jc w:val="both"/>
      </w:pPr>
      <w:r w:rsidRPr="005F30A2">
        <w:rPr>
          <w:rStyle w:val="TijelotekstaChar"/>
        </w:rPr>
        <w:t>En la decisión tomada en el procedimiento del régimen general de reconocimiento de cualificaciones profesionales extranjeras, el solicitante también ejerce el derecho de emplear el título profesional del médico o del médico especialista.</w:t>
      </w:r>
    </w:p>
    <w:p w14:paraId="57C7DA64" w14:textId="77777777" w:rsidR="00052469" w:rsidRPr="005F30A2" w:rsidRDefault="00B47B10">
      <w:pPr>
        <w:pStyle w:val="Heading20"/>
        <w:keepNext/>
        <w:keepLines/>
        <w:numPr>
          <w:ilvl w:val="0"/>
          <w:numId w:val="40"/>
        </w:numPr>
        <w:tabs>
          <w:tab w:val="left" w:pos="524"/>
        </w:tabs>
        <w:spacing w:after="280"/>
      </w:pPr>
      <w:bookmarkStart w:id="8" w:name="bookmark14"/>
      <w:r w:rsidRPr="005F30A2">
        <w:rPr>
          <w:rStyle w:val="Heading2"/>
          <w:b/>
        </w:rPr>
        <w:t>GASTOS DEL PROCEDIMIENTO</w:t>
      </w:r>
      <w:bookmarkEnd w:id="8"/>
    </w:p>
    <w:p w14:paraId="29120566" w14:textId="77777777" w:rsidR="00052469" w:rsidRPr="005F30A2" w:rsidRDefault="00B47B10">
      <w:pPr>
        <w:pStyle w:val="Tijeloteksta"/>
        <w:jc w:val="center"/>
      </w:pPr>
      <w:r w:rsidRPr="005F30A2">
        <w:rPr>
          <w:rStyle w:val="TijelotekstaChar"/>
        </w:rPr>
        <w:t>Artículo 34</w:t>
      </w:r>
    </w:p>
    <w:p w14:paraId="3365D014" w14:textId="77777777" w:rsidR="00052469" w:rsidRPr="005F30A2" w:rsidRDefault="00B47B10">
      <w:pPr>
        <w:pStyle w:val="Tijeloteksta"/>
        <w:numPr>
          <w:ilvl w:val="0"/>
          <w:numId w:val="41"/>
        </w:numPr>
        <w:tabs>
          <w:tab w:val="left" w:pos="380"/>
        </w:tabs>
        <w:jc w:val="both"/>
      </w:pPr>
      <w:r w:rsidRPr="005F30A2">
        <w:rPr>
          <w:rStyle w:val="TijelotekstaChar"/>
        </w:rPr>
        <w:t>El gasto del procedimiento de reconocimiento de cualificaciones profesionales extranjeras según el régimen de reconocimiento general y automático es previsto en la tarifa de reconocimiento de cualificaciones profesionales extranjeras, autorizado por el reglamento del ministro de salud.</w:t>
      </w:r>
    </w:p>
    <w:p w14:paraId="63EC67AE" w14:textId="77777777" w:rsidR="00052469" w:rsidRPr="005F30A2" w:rsidRDefault="00B47B10">
      <w:pPr>
        <w:pStyle w:val="Tijeloteksta"/>
        <w:numPr>
          <w:ilvl w:val="0"/>
          <w:numId w:val="41"/>
        </w:numPr>
        <w:tabs>
          <w:tab w:val="left" w:pos="380"/>
        </w:tabs>
        <w:jc w:val="both"/>
      </w:pPr>
      <w:r w:rsidRPr="005F30A2">
        <w:rPr>
          <w:rStyle w:val="TijelotekstaChar"/>
        </w:rPr>
        <w:t>Los solicitantes de prestación de servicios de forma temporal u ocasional sobre la base de cualificaciones profesionales extranjeras están exentos de los gastos de procedimiento.</w:t>
      </w:r>
      <w:r w:rsidRPr="005F30A2">
        <w:br w:type="page"/>
      </w:r>
    </w:p>
    <w:p w14:paraId="7F5264EF" w14:textId="267F7DEC" w:rsidR="00052469" w:rsidRPr="005F30A2" w:rsidRDefault="00B47B10">
      <w:pPr>
        <w:pStyle w:val="Heading20"/>
        <w:keepNext/>
        <w:keepLines/>
        <w:numPr>
          <w:ilvl w:val="0"/>
          <w:numId w:val="40"/>
        </w:numPr>
        <w:tabs>
          <w:tab w:val="left" w:pos="670"/>
        </w:tabs>
        <w:spacing w:after="280"/>
        <w:rPr>
          <w:sz w:val="20"/>
          <w:szCs w:val="20"/>
        </w:rPr>
      </w:pPr>
      <w:bookmarkStart w:id="9" w:name="bookmark16"/>
      <w:r w:rsidRPr="005F30A2">
        <w:rPr>
          <w:rStyle w:val="Heading2"/>
          <w:b/>
          <w:sz w:val="20"/>
          <w:szCs w:val="20"/>
        </w:rPr>
        <w:lastRenderedPageBreak/>
        <w:t xml:space="preserve">DISPOSICIONES </w:t>
      </w:r>
      <w:r w:rsidR="005F30A2" w:rsidRPr="005F30A2">
        <w:rPr>
          <w:rStyle w:val="Heading2"/>
          <w:b/>
          <w:sz w:val="20"/>
          <w:szCs w:val="20"/>
        </w:rPr>
        <w:t>TRANSITORIAS</w:t>
      </w:r>
      <w:r w:rsidRPr="005F30A2">
        <w:rPr>
          <w:rStyle w:val="Heading2"/>
          <w:b/>
          <w:sz w:val="20"/>
          <w:szCs w:val="20"/>
        </w:rPr>
        <w:t xml:space="preserve"> Y FINALES </w:t>
      </w:r>
      <w:bookmarkEnd w:id="9"/>
    </w:p>
    <w:p w14:paraId="16F72627" w14:textId="77777777" w:rsidR="00052469" w:rsidRPr="005F30A2" w:rsidRDefault="00B47B10">
      <w:pPr>
        <w:pStyle w:val="Tijeloteksta"/>
        <w:spacing w:after="580"/>
        <w:jc w:val="center"/>
        <w:rPr>
          <w:sz w:val="20"/>
          <w:szCs w:val="20"/>
        </w:rPr>
      </w:pPr>
      <w:r w:rsidRPr="005F30A2">
        <w:rPr>
          <w:rStyle w:val="TijelotekstaChar"/>
          <w:sz w:val="20"/>
          <w:szCs w:val="20"/>
        </w:rPr>
        <w:t>Artículo 35</w:t>
      </w:r>
    </w:p>
    <w:p w14:paraId="227F6D6D" w14:textId="77777777" w:rsidR="00052469" w:rsidRPr="005F30A2" w:rsidRDefault="00B47B10">
      <w:pPr>
        <w:pStyle w:val="Tijeloteksta"/>
        <w:jc w:val="both"/>
        <w:rPr>
          <w:sz w:val="20"/>
          <w:szCs w:val="20"/>
        </w:rPr>
      </w:pPr>
      <w:r w:rsidRPr="005F30A2">
        <w:rPr>
          <w:rStyle w:val="TijelotekstaChar"/>
          <w:sz w:val="20"/>
          <w:szCs w:val="20"/>
        </w:rPr>
        <w:t>A todos los asuntos no previstos por el presente Reglamento se aplicarán las disposiciones de la legislación vigente en la República de Croacia, que regulen el reconocimiento de cualificaciones profesionales extranjeras.</w:t>
      </w:r>
    </w:p>
    <w:p w14:paraId="0D95BE7A" w14:textId="77777777" w:rsidR="00052469" w:rsidRPr="005F30A2" w:rsidRDefault="00B47B10">
      <w:pPr>
        <w:pStyle w:val="Tijeloteksta"/>
        <w:jc w:val="center"/>
        <w:rPr>
          <w:sz w:val="20"/>
          <w:szCs w:val="20"/>
        </w:rPr>
      </w:pPr>
      <w:r w:rsidRPr="005F30A2">
        <w:rPr>
          <w:rStyle w:val="TijelotekstaChar"/>
          <w:sz w:val="20"/>
          <w:szCs w:val="20"/>
        </w:rPr>
        <w:t>Artículo 36</w:t>
      </w:r>
    </w:p>
    <w:p w14:paraId="44B8F38F" w14:textId="77777777" w:rsidR="00052469" w:rsidRPr="005F30A2" w:rsidRDefault="00B47B10">
      <w:pPr>
        <w:pStyle w:val="Tijeloteksta"/>
        <w:jc w:val="both"/>
        <w:rPr>
          <w:sz w:val="20"/>
          <w:szCs w:val="20"/>
        </w:rPr>
      </w:pPr>
      <w:r w:rsidRPr="005F30A2">
        <w:rPr>
          <w:rStyle w:val="TijelotekstaChar"/>
          <w:sz w:val="20"/>
          <w:szCs w:val="20"/>
        </w:rPr>
        <w:t>Los procedimientos pendientes en el momento de entrada en vigor de este Reglamento continuarán a tramitarse de acuerdo a lo dispuesto en este Reglamento.</w:t>
      </w:r>
    </w:p>
    <w:p w14:paraId="0664995B" w14:textId="77777777" w:rsidR="00052469" w:rsidRPr="005F30A2" w:rsidRDefault="00B47B10">
      <w:pPr>
        <w:pStyle w:val="Tijeloteksta"/>
        <w:jc w:val="center"/>
        <w:rPr>
          <w:sz w:val="20"/>
          <w:szCs w:val="20"/>
        </w:rPr>
      </w:pPr>
      <w:r w:rsidRPr="005F30A2">
        <w:rPr>
          <w:rStyle w:val="TijelotekstaChar"/>
          <w:sz w:val="20"/>
          <w:szCs w:val="20"/>
        </w:rPr>
        <w:t>Artículo 37</w:t>
      </w:r>
    </w:p>
    <w:p w14:paraId="5C5BFAD1" w14:textId="77777777" w:rsidR="00052469" w:rsidRPr="005F30A2" w:rsidRDefault="00B47B10">
      <w:pPr>
        <w:pStyle w:val="Tijeloteksta"/>
        <w:jc w:val="both"/>
        <w:rPr>
          <w:sz w:val="20"/>
          <w:szCs w:val="20"/>
        </w:rPr>
      </w:pPr>
      <w:r w:rsidRPr="005F30A2">
        <w:rPr>
          <w:rStyle w:val="TijelotekstaChar"/>
          <w:sz w:val="20"/>
          <w:szCs w:val="20"/>
        </w:rPr>
        <w:t>Hasta la adopción de la tarifa prevista en el art. 34 de este Reglamento se aplica la Tarifa de servicios relativos al procedimiento de reconocimiento de cualificaciones profesionales extranjeras del CPM CLASE: 03-70/2013/8, NO. DE ENTREGA:</w:t>
      </w:r>
      <w:r w:rsidRPr="005F30A2">
        <w:rPr>
          <w:rStyle w:val="TijelotekstaChar"/>
          <w:sz w:val="20"/>
          <w:szCs w:val="20"/>
        </w:rPr>
        <w:br/>
        <w:t>385-03-70-35/2013/29 del 15 de noviembre de 2013, autorizado por el Ministerio de salud, acta CLASE</w:t>
      </w:r>
      <w:r w:rsidRPr="005F30A2">
        <w:rPr>
          <w:rStyle w:val="TijelotekstaChar"/>
          <w:sz w:val="20"/>
          <w:szCs w:val="20"/>
        </w:rPr>
        <w:br/>
        <w:t xml:space="preserve"> 510-08/13-01/54, NO. DE ENTREGA: 534-07-1-2-2/3-13-3 del 29 de noviembre de 2013</w:t>
      </w:r>
    </w:p>
    <w:p w14:paraId="4FB21E0F" w14:textId="77777777" w:rsidR="00052469" w:rsidRPr="005F30A2" w:rsidRDefault="00B47B10">
      <w:pPr>
        <w:pStyle w:val="Tijeloteksta"/>
        <w:jc w:val="center"/>
        <w:rPr>
          <w:sz w:val="20"/>
          <w:szCs w:val="20"/>
        </w:rPr>
      </w:pPr>
      <w:r w:rsidRPr="005F30A2">
        <w:rPr>
          <w:rStyle w:val="TijelotekstaChar"/>
          <w:sz w:val="20"/>
          <w:szCs w:val="20"/>
        </w:rPr>
        <w:t>Artículo 38</w:t>
      </w:r>
    </w:p>
    <w:p w14:paraId="7F380222" w14:textId="77777777" w:rsidR="00052469" w:rsidRPr="005F30A2" w:rsidRDefault="00B47B10">
      <w:pPr>
        <w:pStyle w:val="Tijeloteksta"/>
        <w:spacing w:after="0"/>
        <w:jc w:val="both"/>
        <w:rPr>
          <w:sz w:val="20"/>
          <w:szCs w:val="20"/>
        </w:rPr>
      </w:pPr>
      <w:r w:rsidRPr="005F30A2">
        <w:rPr>
          <w:rStyle w:val="TijelotekstaChar"/>
          <w:sz w:val="20"/>
          <w:szCs w:val="20"/>
        </w:rPr>
        <w:t>Con la entrada en vigor de este Reglamento dejarán de surtir efectos:</w:t>
      </w:r>
    </w:p>
    <w:p w14:paraId="22B6C6A4" w14:textId="77777777" w:rsidR="00052469" w:rsidRPr="005F30A2" w:rsidRDefault="00B47B10">
      <w:pPr>
        <w:pStyle w:val="Tijeloteksta"/>
        <w:numPr>
          <w:ilvl w:val="0"/>
          <w:numId w:val="42"/>
        </w:numPr>
        <w:tabs>
          <w:tab w:val="left" w:pos="798"/>
        </w:tabs>
        <w:spacing w:after="0"/>
        <w:ind w:firstLine="380"/>
        <w:jc w:val="both"/>
        <w:rPr>
          <w:sz w:val="20"/>
          <w:szCs w:val="20"/>
        </w:rPr>
      </w:pPr>
      <w:r w:rsidRPr="005F30A2">
        <w:rPr>
          <w:rStyle w:val="TijelotekstaChar"/>
          <w:sz w:val="20"/>
          <w:szCs w:val="20"/>
        </w:rPr>
        <w:t>El Reglamento del procedimiento de reconocimiento de cualificaciones profesionales extranjeras del 19 de mayo de 2018</w:t>
      </w:r>
    </w:p>
    <w:p w14:paraId="58EF57D2" w14:textId="77777777" w:rsidR="00052469" w:rsidRPr="005F30A2" w:rsidRDefault="00B47B10">
      <w:pPr>
        <w:pStyle w:val="Tijeloteksta"/>
        <w:numPr>
          <w:ilvl w:val="0"/>
          <w:numId w:val="42"/>
        </w:numPr>
        <w:tabs>
          <w:tab w:val="left" w:pos="798"/>
        </w:tabs>
        <w:ind w:left="740" w:hanging="360"/>
        <w:jc w:val="both"/>
        <w:rPr>
          <w:sz w:val="20"/>
          <w:szCs w:val="20"/>
        </w:rPr>
      </w:pPr>
      <w:r w:rsidRPr="005F30A2">
        <w:rPr>
          <w:rStyle w:val="TijelotekstaChar"/>
          <w:sz w:val="20"/>
          <w:szCs w:val="20"/>
        </w:rPr>
        <w:t>El Reglamento del procedimiento de reconocimiento de cualificaciones profesionales extranjeras del 10 de abril de 2017</w:t>
      </w:r>
    </w:p>
    <w:p w14:paraId="7108EFBF" w14:textId="77777777" w:rsidR="00052469" w:rsidRPr="005F30A2" w:rsidRDefault="00B47B10">
      <w:pPr>
        <w:pStyle w:val="Tijeloteksta"/>
        <w:jc w:val="center"/>
        <w:rPr>
          <w:sz w:val="20"/>
          <w:szCs w:val="20"/>
        </w:rPr>
      </w:pPr>
      <w:r w:rsidRPr="005F30A2">
        <w:rPr>
          <w:rStyle w:val="TijelotekstaChar"/>
          <w:sz w:val="20"/>
          <w:szCs w:val="20"/>
        </w:rPr>
        <w:t>Artículo 39</w:t>
      </w:r>
    </w:p>
    <w:p w14:paraId="7EE27821" w14:textId="77777777" w:rsidR="00052469" w:rsidRPr="005F30A2" w:rsidRDefault="00B47B10">
      <w:pPr>
        <w:pStyle w:val="Tijeloteksta"/>
        <w:jc w:val="both"/>
        <w:rPr>
          <w:sz w:val="20"/>
          <w:szCs w:val="20"/>
        </w:rPr>
      </w:pPr>
      <w:r w:rsidRPr="005F30A2">
        <w:rPr>
          <w:rStyle w:val="TijelotekstaChar"/>
          <w:sz w:val="20"/>
          <w:szCs w:val="20"/>
        </w:rPr>
        <w:t>Este reglamento será publicado en el tablón de anuncios del CPM y entrará en vigor el octavo día desde su publicación en el tablón de anuncios.</w:t>
      </w:r>
    </w:p>
    <w:p w14:paraId="51279308" w14:textId="77777777" w:rsidR="00052469" w:rsidRPr="005F30A2" w:rsidRDefault="00B47B10">
      <w:pPr>
        <w:pStyle w:val="Tijeloteksta"/>
        <w:spacing w:after="0"/>
        <w:jc w:val="both"/>
        <w:rPr>
          <w:sz w:val="20"/>
          <w:szCs w:val="20"/>
        </w:rPr>
      </w:pPr>
      <w:r w:rsidRPr="005F30A2">
        <w:rPr>
          <w:rStyle w:val="TijelotekstaChar"/>
          <w:sz w:val="20"/>
          <w:szCs w:val="20"/>
        </w:rPr>
        <w:t>CLASE: 011-03/19-01/21</w:t>
      </w:r>
    </w:p>
    <w:p w14:paraId="76407C49" w14:textId="77777777" w:rsidR="00052469" w:rsidRPr="005F30A2" w:rsidRDefault="00B47B10">
      <w:pPr>
        <w:pStyle w:val="Tijeloteksta"/>
        <w:spacing w:after="220" w:line="218" w:lineRule="auto"/>
        <w:jc w:val="both"/>
        <w:rPr>
          <w:sz w:val="20"/>
          <w:szCs w:val="20"/>
        </w:rPr>
      </w:pPr>
      <w:r w:rsidRPr="005F30A2">
        <w:rPr>
          <w:rStyle w:val="TijelotekstaChar"/>
          <w:sz w:val="20"/>
          <w:szCs w:val="20"/>
        </w:rPr>
        <w:t>NO. DE ENTREGA: 385-02/01-19-01</w:t>
      </w:r>
    </w:p>
    <w:p w14:paraId="22ECE951" w14:textId="77777777" w:rsidR="00052469" w:rsidRPr="005F30A2" w:rsidRDefault="00B47B10">
      <w:pPr>
        <w:pStyle w:val="Tijeloteksta"/>
        <w:spacing w:after="0"/>
        <w:ind w:left="5220"/>
        <w:jc w:val="both"/>
        <w:rPr>
          <w:sz w:val="20"/>
          <w:szCs w:val="20"/>
        </w:rPr>
      </w:pPr>
      <w:r w:rsidRPr="005F30A2">
        <w:rPr>
          <w:rStyle w:val="TijelotekstaChar"/>
          <w:sz w:val="20"/>
          <w:szCs w:val="20"/>
        </w:rPr>
        <w:t>Presidente de la Junta</w:t>
      </w:r>
    </w:p>
    <w:p w14:paraId="75BF985F" w14:textId="77777777" w:rsidR="00052469" w:rsidRPr="005F30A2" w:rsidRDefault="00B47B10">
      <w:pPr>
        <w:pStyle w:val="Tijeloteksta"/>
        <w:spacing w:after="220" w:line="202" w:lineRule="auto"/>
        <w:ind w:left="5040"/>
        <w:jc w:val="both"/>
        <w:rPr>
          <w:sz w:val="20"/>
          <w:szCs w:val="20"/>
        </w:rPr>
      </w:pPr>
      <w:r w:rsidRPr="005F30A2">
        <w:rPr>
          <w:rStyle w:val="TijelotekstaChar"/>
          <w:sz w:val="20"/>
          <w:szCs w:val="20"/>
        </w:rPr>
        <w:t>del Colegio profesional de médicos</w:t>
      </w:r>
    </w:p>
    <w:p w14:paraId="52456D72" w14:textId="77777777" w:rsidR="00052469" w:rsidRPr="005F30A2" w:rsidRDefault="00B47B10">
      <w:pPr>
        <w:pStyle w:val="Tijeloteksta"/>
        <w:spacing w:after="440"/>
        <w:ind w:left="4420"/>
        <w:jc w:val="both"/>
        <w:rPr>
          <w:sz w:val="20"/>
          <w:szCs w:val="20"/>
        </w:rPr>
      </w:pPr>
      <w:r w:rsidRPr="005F30A2">
        <w:rPr>
          <w:rStyle w:val="TijelotekstaChar"/>
          <w:sz w:val="20"/>
          <w:szCs w:val="20"/>
        </w:rPr>
        <w:t>doc.dr.sc. Krešimir Dolić, dr.med., de su puño y letra</w:t>
      </w:r>
    </w:p>
    <w:p w14:paraId="4C848ED9" w14:textId="77777777" w:rsidR="00052469" w:rsidRPr="005F30A2" w:rsidRDefault="00B47B10">
      <w:pPr>
        <w:pStyle w:val="Tijeloteksta"/>
        <w:spacing w:after="480"/>
        <w:jc w:val="both"/>
        <w:rPr>
          <w:sz w:val="20"/>
          <w:szCs w:val="20"/>
        </w:rPr>
      </w:pPr>
      <w:r w:rsidRPr="005F30A2">
        <w:rPr>
          <w:rStyle w:val="TijelotekstaChar"/>
          <w:sz w:val="20"/>
          <w:szCs w:val="20"/>
        </w:rPr>
        <w:t>Este reglamento fue publicado en el tablón de anuncios del CPM el 19 de diciembre de 2019.</w:t>
      </w:r>
    </w:p>
    <w:p w14:paraId="1468EBE8" w14:textId="77777777" w:rsidR="00052469" w:rsidRPr="005F30A2" w:rsidRDefault="00B47B10" w:rsidP="005F30A2">
      <w:pPr>
        <w:pStyle w:val="Tijeloteksta"/>
        <w:spacing w:after="0"/>
        <w:ind w:left="5220"/>
        <w:jc w:val="both"/>
        <w:rPr>
          <w:sz w:val="20"/>
          <w:szCs w:val="20"/>
        </w:rPr>
      </w:pPr>
      <w:r w:rsidRPr="005F30A2">
        <w:rPr>
          <w:rStyle w:val="TijelotekstaChar"/>
          <w:sz w:val="20"/>
          <w:szCs w:val="20"/>
        </w:rPr>
        <w:t>Presidente de la Junta</w:t>
      </w:r>
    </w:p>
    <w:p w14:paraId="182EEB4A" w14:textId="77777777" w:rsidR="00052469" w:rsidRPr="005F30A2" w:rsidRDefault="00B47B10" w:rsidP="005F30A2">
      <w:pPr>
        <w:pStyle w:val="Tijeloteksta"/>
        <w:spacing w:after="0"/>
        <w:ind w:left="5040"/>
        <w:jc w:val="both"/>
        <w:rPr>
          <w:sz w:val="20"/>
          <w:szCs w:val="20"/>
        </w:rPr>
      </w:pPr>
      <w:r w:rsidRPr="005F30A2">
        <w:rPr>
          <w:rStyle w:val="TijelotekstaChar"/>
          <w:sz w:val="20"/>
          <w:szCs w:val="20"/>
        </w:rPr>
        <w:t>del Colegio profesional de médicos</w:t>
      </w:r>
    </w:p>
    <w:p w14:paraId="5B053EB6" w14:textId="77777777" w:rsidR="00052469" w:rsidRPr="005F30A2" w:rsidRDefault="00B47B10" w:rsidP="005F30A2">
      <w:pPr>
        <w:pStyle w:val="Tijeloteksta"/>
        <w:spacing w:after="0"/>
        <w:ind w:left="4420"/>
        <w:jc w:val="both"/>
        <w:rPr>
          <w:sz w:val="20"/>
          <w:szCs w:val="20"/>
        </w:rPr>
      </w:pPr>
      <w:r w:rsidRPr="005F30A2">
        <w:rPr>
          <w:rStyle w:val="TijelotekstaChar"/>
          <w:sz w:val="20"/>
          <w:szCs w:val="20"/>
        </w:rPr>
        <w:t>doc.dr.sc. Krešimir Dolić, dr.med., de su puño y letra</w:t>
      </w:r>
      <w:r w:rsidRPr="005F30A2">
        <w:rPr>
          <w:sz w:val="20"/>
          <w:szCs w:val="20"/>
        </w:rPr>
        <w:br w:type="page"/>
      </w:r>
    </w:p>
    <w:p w14:paraId="7343BB3C" w14:textId="77777777" w:rsidR="00052469" w:rsidRPr="005F30A2" w:rsidRDefault="00B47B10">
      <w:pPr>
        <w:pStyle w:val="Tijeloteksta"/>
        <w:spacing w:after="260"/>
      </w:pPr>
      <w:r w:rsidRPr="005F30A2">
        <w:rPr>
          <w:rStyle w:val="TijelotekstaChar"/>
        </w:rPr>
        <w:lastRenderedPageBreak/>
        <w:t>ANEXO I</w:t>
      </w:r>
    </w:p>
    <w:p w14:paraId="0872D4F3" w14:textId="77777777" w:rsidR="00052469" w:rsidRPr="005F30A2" w:rsidRDefault="00B47B10">
      <w:pPr>
        <w:pStyle w:val="Tijeloteksta"/>
        <w:spacing w:after="260"/>
      </w:pPr>
      <w:r w:rsidRPr="005F30A2">
        <w:rPr>
          <w:rStyle w:val="TijelotekstaChar"/>
        </w:rPr>
        <w:t>Solicitud de reconocimiento de la cualificación / prestación de servicios de modo temporal y ocasional</w:t>
      </w:r>
    </w:p>
    <w:p w14:paraId="611FECB8" w14:textId="01865D76" w:rsidR="00052469" w:rsidRDefault="00B47B10" w:rsidP="005F30A2">
      <w:pPr>
        <w:pStyle w:val="Tijeloteksta"/>
        <w:spacing w:after="520"/>
        <w:rPr>
          <w:rStyle w:val="TijelotekstaChar"/>
        </w:rPr>
      </w:pPr>
      <w:r w:rsidRPr="005F30A2">
        <w:rPr>
          <w:rStyle w:val="TijelotekstaChar"/>
        </w:rPr>
        <w:t>Application for the recognition of qualifications / pursuing the profession on temporary and</w:t>
      </w:r>
      <w:r w:rsidRPr="005F30A2">
        <w:rPr>
          <w:rStyle w:val="TijelotekstaChar"/>
        </w:rPr>
        <w:br/>
        <w:t>occasional basis</w:t>
      </w:r>
    </w:p>
    <w:p w14:paraId="71C08F64" w14:textId="62D2C159" w:rsidR="005D1E16" w:rsidRDefault="005D1E16" w:rsidP="005F30A2">
      <w:pPr>
        <w:pStyle w:val="Tijeloteksta"/>
        <w:spacing w:after="520"/>
      </w:pPr>
      <w:r w:rsidRPr="005D1E16">
        <w:rPr>
          <w:noProof/>
          <w:lang w:val="hr-HR"/>
        </w:rPr>
        <w:drawing>
          <wp:inline distT="0" distB="0" distL="0" distR="0" wp14:anchorId="4A507059" wp14:editId="0D23D700">
            <wp:extent cx="5803900" cy="4708525"/>
            <wp:effectExtent l="0" t="0" r="6350" b="0"/>
            <wp:docPr id="2044943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43902" name=""/>
                    <pic:cNvPicPr/>
                  </pic:nvPicPr>
                  <pic:blipFill>
                    <a:blip r:embed="rId7"/>
                    <a:stretch>
                      <a:fillRect/>
                    </a:stretch>
                  </pic:blipFill>
                  <pic:spPr>
                    <a:xfrm>
                      <a:off x="0" y="0"/>
                      <a:ext cx="5803900" cy="4708525"/>
                    </a:xfrm>
                    <a:prstGeom prst="rect">
                      <a:avLst/>
                    </a:prstGeom>
                  </pic:spPr>
                </pic:pic>
              </a:graphicData>
            </a:graphic>
          </wp:inline>
        </w:drawing>
      </w:r>
    </w:p>
    <w:p w14:paraId="0321197E" w14:textId="0C3B4BF5" w:rsidR="005D1E16" w:rsidRDefault="005D1E16" w:rsidP="005F30A2">
      <w:pPr>
        <w:pStyle w:val="Tijeloteksta"/>
        <w:spacing w:after="520"/>
      </w:pPr>
      <w:r w:rsidRPr="005D1E16">
        <w:rPr>
          <w:noProof/>
          <w:lang w:val="hr-HR"/>
        </w:rPr>
        <w:drawing>
          <wp:inline distT="0" distB="0" distL="0" distR="0" wp14:anchorId="59DDACC6" wp14:editId="36360005">
            <wp:extent cx="4975860" cy="2141220"/>
            <wp:effectExtent l="0" t="0" r="0" b="0"/>
            <wp:docPr id="389297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97001" name=""/>
                    <pic:cNvPicPr/>
                  </pic:nvPicPr>
                  <pic:blipFill>
                    <a:blip r:embed="rId8"/>
                    <a:stretch>
                      <a:fillRect/>
                    </a:stretch>
                  </pic:blipFill>
                  <pic:spPr>
                    <a:xfrm>
                      <a:off x="0" y="0"/>
                      <a:ext cx="4975860" cy="2141220"/>
                    </a:xfrm>
                    <a:prstGeom prst="rect">
                      <a:avLst/>
                    </a:prstGeom>
                  </pic:spPr>
                </pic:pic>
              </a:graphicData>
            </a:graphic>
          </wp:inline>
        </w:drawing>
      </w:r>
    </w:p>
    <w:p w14:paraId="32D41745" w14:textId="5058B60D" w:rsidR="005D1E16" w:rsidRPr="005F30A2" w:rsidRDefault="005D1E16" w:rsidP="005F30A2">
      <w:pPr>
        <w:pStyle w:val="Tijeloteksta"/>
        <w:spacing w:after="520"/>
      </w:pPr>
      <w:r w:rsidRPr="005D1E16">
        <w:rPr>
          <w:noProof/>
          <w:lang w:val="hr-HR"/>
        </w:rPr>
        <w:lastRenderedPageBreak/>
        <w:drawing>
          <wp:inline distT="0" distB="0" distL="0" distR="0" wp14:anchorId="764D0383" wp14:editId="0D04345E">
            <wp:extent cx="5803900" cy="6614160"/>
            <wp:effectExtent l="0" t="0" r="6350" b="0"/>
            <wp:docPr id="1241793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93667" name=""/>
                    <pic:cNvPicPr/>
                  </pic:nvPicPr>
                  <pic:blipFill>
                    <a:blip r:embed="rId9"/>
                    <a:stretch>
                      <a:fillRect/>
                    </a:stretch>
                  </pic:blipFill>
                  <pic:spPr>
                    <a:xfrm>
                      <a:off x="0" y="0"/>
                      <a:ext cx="5803900" cy="6614160"/>
                    </a:xfrm>
                    <a:prstGeom prst="rect">
                      <a:avLst/>
                    </a:prstGeom>
                  </pic:spPr>
                </pic:pic>
              </a:graphicData>
            </a:graphic>
          </wp:inline>
        </w:drawing>
      </w:r>
    </w:p>
    <w:sectPr w:rsidR="005D1E16" w:rsidRPr="005F30A2" w:rsidSect="003B4751">
      <w:pgSz w:w="11906" w:h="16838"/>
      <w:pgMar w:top="1411" w:right="1386" w:bottom="1254" w:left="1380" w:header="983" w:footer="82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5E211" w14:textId="77777777" w:rsidR="0017317D" w:rsidRDefault="0017317D">
      <w:r>
        <w:separator/>
      </w:r>
    </w:p>
  </w:endnote>
  <w:endnote w:type="continuationSeparator" w:id="0">
    <w:p w14:paraId="61115E31" w14:textId="77777777" w:rsidR="0017317D" w:rsidRDefault="0017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4BAF" w14:textId="77777777" w:rsidR="0017317D" w:rsidRDefault="0017317D"/>
  </w:footnote>
  <w:footnote w:type="continuationSeparator" w:id="0">
    <w:p w14:paraId="32AE58EF" w14:textId="77777777" w:rsidR="0017317D" w:rsidRDefault="0017317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CB1"/>
    <w:multiLevelType w:val="multilevel"/>
    <w:tmpl w:val="F4669924"/>
    <w:lvl w:ilvl="0">
      <w:start w:val="1"/>
      <w:numFmt w:val="upperRoman"/>
      <w:lvlText w:val="%1"/>
      <w:lvlJc w:val="left"/>
      <w:rPr>
        <w:rFonts w:ascii="Arial" w:eastAsia="Arial" w:hAnsi="Arial" w:cs="Arial"/>
        <w:b w:val="0"/>
        <w:bCs w:val="0"/>
        <w:i w:val="0"/>
        <w:iCs w:val="0"/>
        <w:smallCaps w:val="0"/>
        <w:strike w:val="0"/>
        <w:color w:val="484848"/>
        <w:spacing w:val="0"/>
        <w:w w:val="100"/>
        <w:position w:val="0"/>
        <w:sz w:val="36"/>
        <w:szCs w:val="36"/>
        <w:u w:val="none"/>
        <w:shd w:val="clear" w:color="auto" w:fill="auto"/>
        <w:vertAlign w:val="superscript"/>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52DF2"/>
    <w:multiLevelType w:val="multilevel"/>
    <w:tmpl w:val="BFCA5F0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86F86"/>
    <w:multiLevelType w:val="multilevel"/>
    <w:tmpl w:val="68668E0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01633"/>
    <w:multiLevelType w:val="multilevel"/>
    <w:tmpl w:val="93AA8A58"/>
    <w:lvl w:ilvl="0">
      <w:start w:val="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B66602"/>
    <w:multiLevelType w:val="multilevel"/>
    <w:tmpl w:val="3FB43E5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8B3A06"/>
    <w:multiLevelType w:val="multilevel"/>
    <w:tmpl w:val="65606DFE"/>
    <w:lvl w:ilvl="0">
      <w:start w:val="1"/>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B478E"/>
    <w:multiLevelType w:val="multilevel"/>
    <w:tmpl w:val="D0001D8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67445C"/>
    <w:multiLevelType w:val="multilevel"/>
    <w:tmpl w:val="A5B48D2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224EA4"/>
    <w:multiLevelType w:val="multilevel"/>
    <w:tmpl w:val="5AF6029E"/>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E92DBF"/>
    <w:multiLevelType w:val="multilevel"/>
    <w:tmpl w:val="4DC4C35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074F80"/>
    <w:multiLevelType w:val="multilevel"/>
    <w:tmpl w:val="5164D35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991946"/>
    <w:multiLevelType w:val="multilevel"/>
    <w:tmpl w:val="7564E09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DE12DD"/>
    <w:multiLevelType w:val="multilevel"/>
    <w:tmpl w:val="ACE20DD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453C0F"/>
    <w:multiLevelType w:val="multilevel"/>
    <w:tmpl w:val="82BE12E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BE514E"/>
    <w:multiLevelType w:val="multilevel"/>
    <w:tmpl w:val="B952026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6E7997"/>
    <w:multiLevelType w:val="multilevel"/>
    <w:tmpl w:val="E4AC25C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0B6F7C"/>
    <w:multiLevelType w:val="multilevel"/>
    <w:tmpl w:val="7FF2E86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F20568"/>
    <w:multiLevelType w:val="multilevel"/>
    <w:tmpl w:val="4A4EE4D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207356"/>
    <w:multiLevelType w:val="multilevel"/>
    <w:tmpl w:val="F0081BA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BA18F3"/>
    <w:multiLevelType w:val="multilevel"/>
    <w:tmpl w:val="8B4A328E"/>
    <w:lvl w:ilvl="0">
      <w:start w:val="1"/>
      <w:numFmt w:val="upperRoman"/>
      <w:lvlText w:val="%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2F2340"/>
    <w:multiLevelType w:val="multilevel"/>
    <w:tmpl w:val="0234F8F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800875"/>
    <w:multiLevelType w:val="multilevel"/>
    <w:tmpl w:val="66F089E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150981"/>
    <w:multiLevelType w:val="multilevel"/>
    <w:tmpl w:val="79D8EEB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C15C3A"/>
    <w:multiLevelType w:val="multilevel"/>
    <w:tmpl w:val="C3C4D64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40541E"/>
    <w:multiLevelType w:val="multilevel"/>
    <w:tmpl w:val="9FDC41B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F1332D"/>
    <w:multiLevelType w:val="multilevel"/>
    <w:tmpl w:val="E0FA93B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B62246"/>
    <w:multiLevelType w:val="multilevel"/>
    <w:tmpl w:val="3D9CE5A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6005A6"/>
    <w:multiLevelType w:val="multilevel"/>
    <w:tmpl w:val="BAC23B0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0347F6"/>
    <w:multiLevelType w:val="multilevel"/>
    <w:tmpl w:val="EFB6CC4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60B1"/>
    <w:multiLevelType w:val="multilevel"/>
    <w:tmpl w:val="838AD3CE"/>
    <w:lvl w:ilvl="0">
      <w:start w:val="4"/>
      <w:numFmt w:val="decimal"/>
      <w:lvlText w:val="%1"/>
      <w:lvlJc w:val="left"/>
      <w:rPr>
        <w:rFonts w:ascii="Arial" w:eastAsia="Arial" w:hAnsi="Arial" w:cs="Arial"/>
        <w:b w:val="0"/>
        <w:bCs w:val="0"/>
        <w:i w:val="0"/>
        <w:iCs w:val="0"/>
        <w:smallCaps w:val="0"/>
        <w:strike w:val="0"/>
        <w:color w:val="333333"/>
        <w:spacing w:val="0"/>
        <w:w w:val="100"/>
        <w:position w:val="0"/>
        <w:sz w:val="14"/>
        <w:szCs w:val="14"/>
        <w:u w:val="none"/>
        <w:shd w:val="clear" w:color="auto" w:fill="auto"/>
        <w:lang w:val="hr-HR" w:eastAsia="hr-HR"/>
      </w:rPr>
    </w:lvl>
    <w:lvl w:ilvl="1">
      <w:start w:val="1"/>
      <w:numFmt w:val="decimal"/>
      <w:lvlText w:val="%1.%2"/>
      <w:lvlJc w:val="left"/>
      <w:rPr>
        <w:rFonts w:ascii="Times New Roman" w:eastAsia="Times New Roman" w:hAnsi="Times New Roman" w:cs="Times New Roman"/>
        <w:b w:val="0"/>
        <w:bCs w:val="0"/>
        <w:i w:val="0"/>
        <w:iCs w:val="0"/>
        <w:smallCaps w:val="0"/>
        <w:strike w:val="0"/>
        <w:color w:val="484848"/>
        <w:spacing w:val="0"/>
        <w:w w:val="100"/>
        <w:position w:val="0"/>
        <w:sz w:val="13"/>
        <w:szCs w:val="13"/>
        <w:u w:val="none"/>
        <w:shd w:val="clear" w:color="auto" w:fill="auto"/>
        <w:lang w:val="hr-HR" w:eastAsia="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BD0EA3"/>
    <w:multiLevelType w:val="multilevel"/>
    <w:tmpl w:val="6150C6D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D4303B"/>
    <w:multiLevelType w:val="multilevel"/>
    <w:tmpl w:val="0926565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5A3A82"/>
    <w:multiLevelType w:val="multilevel"/>
    <w:tmpl w:val="8D104AF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937D0A"/>
    <w:multiLevelType w:val="multilevel"/>
    <w:tmpl w:val="5ACC95C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031FC5"/>
    <w:multiLevelType w:val="multilevel"/>
    <w:tmpl w:val="0DBC667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7C2079"/>
    <w:multiLevelType w:val="multilevel"/>
    <w:tmpl w:val="D4BCE30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3938D3"/>
    <w:multiLevelType w:val="multilevel"/>
    <w:tmpl w:val="5594A8F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E371FE"/>
    <w:multiLevelType w:val="multilevel"/>
    <w:tmpl w:val="DF22D50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CA1C78"/>
    <w:multiLevelType w:val="multilevel"/>
    <w:tmpl w:val="AD60B31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891ADA"/>
    <w:multiLevelType w:val="multilevel"/>
    <w:tmpl w:val="A720F4E6"/>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4B4365"/>
    <w:multiLevelType w:val="multilevel"/>
    <w:tmpl w:val="9B2AFFC2"/>
    <w:lvl w:ilvl="0">
      <w:start w:val="7"/>
      <w:numFmt w:val="upperRoman"/>
      <w:lvlText w:val="%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7F7D8F"/>
    <w:multiLevelType w:val="multilevel"/>
    <w:tmpl w:val="5A96C02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BE3D91"/>
    <w:multiLevelType w:val="multilevel"/>
    <w:tmpl w:val="24E824D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A97320"/>
    <w:multiLevelType w:val="multilevel"/>
    <w:tmpl w:val="CE562F16"/>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1"/>
  </w:num>
  <w:num w:numId="3">
    <w:abstractNumId w:val="32"/>
  </w:num>
  <w:num w:numId="4">
    <w:abstractNumId w:val="27"/>
  </w:num>
  <w:num w:numId="5">
    <w:abstractNumId w:val="41"/>
  </w:num>
  <w:num w:numId="6">
    <w:abstractNumId w:val="24"/>
  </w:num>
  <w:num w:numId="7">
    <w:abstractNumId w:val="22"/>
  </w:num>
  <w:num w:numId="8">
    <w:abstractNumId w:val="10"/>
  </w:num>
  <w:num w:numId="9">
    <w:abstractNumId w:val="39"/>
  </w:num>
  <w:num w:numId="10">
    <w:abstractNumId w:val="43"/>
  </w:num>
  <w:num w:numId="11">
    <w:abstractNumId w:val="33"/>
  </w:num>
  <w:num w:numId="12">
    <w:abstractNumId w:val="16"/>
  </w:num>
  <w:num w:numId="13">
    <w:abstractNumId w:val="35"/>
  </w:num>
  <w:num w:numId="14">
    <w:abstractNumId w:val="14"/>
  </w:num>
  <w:num w:numId="15">
    <w:abstractNumId w:val="4"/>
  </w:num>
  <w:num w:numId="16">
    <w:abstractNumId w:val="20"/>
  </w:num>
  <w:num w:numId="17">
    <w:abstractNumId w:val="30"/>
  </w:num>
  <w:num w:numId="18">
    <w:abstractNumId w:val="38"/>
  </w:num>
  <w:num w:numId="19">
    <w:abstractNumId w:val="11"/>
  </w:num>
  <w:num w:numId="20">
    <w:abstractNumId w:val="31"/>
  </w:num>
  <w:num w:numId="21">
    <w:abstractNumId w:val="26"/>
  </w:num>
  <w:num w:numId="22">
    <w:abstractNumId w:val="6"/>
  </w:num>
  <w:num w:numId="23">
    <w:abstractNumId w:val="1"/>
  </w:num>
  <w:num w:numId="24">
    <w:abstractNumId w:val="15"/>
  </w:num>
  <w:num w:numId="25">
    <w:abstractNumId w:val="12"/>
  </w:num>
  <w:num w:numId="26">
    <w:abstractNumId w:val="34"/>
  </w:num>
  <w:num w:numId="27">
    <w:abstractNumId w:val="25"/>
  </w:num>
  <w:num w:numId="28">
    <w:abstractNumId w:val="7"/>
  </w:num>
  <w:num w:numId="29">
    <w:abstractNumId w:val="18"/>
  </w:num>
  <w:num w:numId="30">
    <w:abstractNumId w:val="9"/>
  </w:num>
  <w:num w:numId="31">
    <w:abstractNumId w:val="17"/>
  </w:num>
  <w:num w:numId="32">
    <w:abstractNumId w:val="3"/>
  </w:num>
  <w:num w:numId="33">
    <w:abstractNumId w:val="28"/>
  </w:num>
  <w:num w:numId="34">
    <w:abstractNumId w:val="23"/>
  </w:num>
  <w:num w:numId="35">
    <w:abstractNumId w:val="2"/>
  </w:num>
  <w:num w:numId="36">
    <w:abstractNumId w:val="8"/>
  </w:num>
  <w:num w:numId="37">
    <w:abstractNumId w:val="42"/>
  </w:num>
  <w:num w:numId="38">
    <w:abstractNumId w:val="5"/>
  </w:num>
  <w:num w:numId="39">
    <w:abstractNumId w:val="37"/>
  </w:num>
  <w:num w:numId="40">
    <w:abstractNumId w:val="40"/>
  </w:num>
  <w:num w:numId="41">
    <w:abstractNumId w:val="36"/>
  </w:num>
  <w:num w:numId="42">
    <w:abstractNumId w:val="13"/>
  </w:num>
  <w:num w:numId="43">
    <w:abstractNumId w:val="0"/>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69"/>
    <w:rsid w:val="00032CD9"/>
    <w:rsid w:val="00047198"/>
    <w:rsid w:val="00052469"/>
    <w:rsid w:val="0017317D"/>
    <w:rsid w:val="001D6F9E"/>
    <w:rsid w:val="002D1AFF"/>
    <w:rsid w:val="003B4751"/>
    <w:rsid w:val="005D1E16"/>
    <w:rsid w:val="005F30A2"/>
    <w:rsid w:val="00AD0F67"/>
    <w:rsid w:val="00B47B1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A7B7"/>
  <w15:docId w15:val="{EE972FBD-4CA7-491F-A6D3-605E9C99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s-ES" w:eastAsia="hr-H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basedOn w:val="Zadanifontodlomka"/>
    <w:link w:val="Tijeloteksta"/>
    <w:rPr>
      <w:rFonts w:ascii="Palatino Linotype" w:eastAsia="Palatino Linotype" w:hAnsi="Palatino Linotype" w:cs="Palatino Linotype"/>
      <w:b w:val="0"/>
      <w:bCs w:val="0"/>
      <w:i w:val="0"/>
      <w:iCs w:val="0"/>
      <w:smallCaps w:val="0"/>
      <w:strike w:val="0"/>
      <w:sz w:val="22"/>
      <w:szCs w:val="22"/>
      <w:u w:val="none"/>
    </w:rPr>
  </w:style>
  <w:style w:type="character" w:customStyle="1" w:styleId="Heading2">
    <w:name w:val="Heading #2_"/>
    <w:basedOn w:val="Zadanifontodlomka"/>
    <w:link w:val="Heading20"/>
    <w:rPr>
      <w:rFonts w:ascii="Palatino Linotype" w:eastAsia="Palatino Linotype" w:hAnsi="Palatino Linotype" w:cs="Palatino Linotype"/>
      <w:b/>
      <w:bCs/>
      <w:i w:val="0"/>
      <w:iCs w:val="0"/>
      <w:smallCaps w:val="0"/>
      <w:strike w:val="0"/>
      <w:sz w:val="22"/>
      <w:szCs w:val="22"/>
      <w:u w:val="none"/>
    </w:rPr>
  </w:style>
  <w:style w:type="character" w:customStyle="1" w:styleId="Bodytext3">
    <w:name w:val="Body text (3)_"/>
    <w:basedOn w:val="Zadanifontodlomka"/>
    <w:link w:val="Bodytext30"/>
    <w:rPr>
      <w:rFonts w:ascii="Arial" w:eastAsia="Arial" w:hAnsi="Arial" w:cs="Arial"/>
      <w:b w:val="0"/>
      <w:bCs w:val="0"/>
      <w:i w:val="0"/>
      <w:iCs w:val="0"/>
      <w:smallCaps w:val="0"/>
      <w:strike w:val="0"/>
      <w:color w:val="333333"/>
      <w:sz w:val="14"/>
      <w:szCs w:val="14"/>
      <w:u w:val="none"/>
    </w:rPr>
  </w:style>
  <w:style w:type="character" w:customStyle="1" w:styleId="Heading1">
    <w:name w:val="Heading #1_"/>
    <w:basedOn w:val="Zadanifontodlomka"/>
    <w:link w:val="Heading10"/>
    <w:rPr>
      <w:rFonts w:ascii="Arial" w:eastAsia="Arial" w:hAnsi="Arial" w:cs="Arial"/>
      <w:b w:val="0"/>
      <w:bCs w:val="0"/>
      <w:i w:val="0"/>
      <w:iCs w:val="0"/>
      <w:smallCaps w:val="0"/>
      <w:strike w:val="0"/>
      <w:color w:val="333333"/>
      <w:sz w:val="36"/>
      <w:szCs w:val="36"/>
      <w:u w:val="none"/>
    </w:rPr>
  </w:style>
  <w:style w:type="character" w:customStyle="1" w:styleId="Bodytext2">
    <w:name w:val="Body text (2)_"/>
    <w:basedOn w:val="Zadanifontodlomka"/>
    <w:link w:val="Bodytext20"/>
    <w:rPr>
      <w:rFonts w:ascii="Times New Roman" w:eastAsia="Times New Roman" w:hAnsi="Times New Roman" w:cs="Times New Roman"/>
      <w:b w:val="0"/>
      <w:bCs w:val="0"/>
      <w:i w:val="0"/>
      <w:iCs w:val="0"/>
      <w:smallCaps w:val="0"/>
      <w:strike w:val="0"/>
      <w:color w:val="333333"/>
      <w:sz w:val="13"/>
      <w:szCs w:val="13"/>
      <w:u w:val="none"/>
    </w:rPr>
  </w:style>
  <w:style w:type="character" w:customStyle="1" w:styleId="Bodytext4">
    <w:name w:val="Body text (4)_"/>
    <w:basedOn w:val="Zadanifontodlomka"/>
    <w:link w:val="Bodytext40"/>
    <w:rPr>
      <w:rFonts w:ascii="Arial" w:eastAsia="Arial" w:hAnsi="Arial" w:cs="Arial"/>
      <w:b w:val="0"/>
      <w:bCs w:val="0"/>
      <w:i w:val="0"/>
      <w:iCs w:val="0"/>
      <w:smallCaps w:val="0"/>
      <w:strike w:val="0"/>
      <w:color w:val="333333"/>
      <w:sz w:val="22"/>
      <w:szCs w:val="22"/>
      <w:u w:val="none"/>
    </w:rPr>
  </w:style>
  <w:style w:type="character" w:customStyle="1" w:styleId="Tablecaption">
    <w:name w:val="Table caption_"/>
    <w:basedOn w:val="Zadanifontodlomka"/>
    <w:link w:val="Tablecaption0"/>
    <w:rPr>
      <w:rFonts w:ascii="Times New Roman" w:eastAsia="Times New Roman" w:hAnsi="Times New Roman" w:cs="Times New Roman"/>
      <w:b w:val="0"/>
      <w:bCs w:val="0"/>
      <w:i w:val="0"/>
      <w:iCs w:val="0"/>
      <w:smallCaps w:val="0"/>
      <w:strike w:val="0"/>
      <w:color w:val="333333"/>
      <w:sz w:val="13"/>
      <w:szCs w:val="13"/>
      <w:u w:val="none"/>
    </w:rPr>
  </w:style>
  <w:style w:type="character" w:customStyle="1" w:styleId="Other">
    <w:name w:val="Other_"/>
    <w:basedOn w:val="Zadanifontodlomka"/>
    <w:link w:val="Other0"/>
    <w:rPr>
      <w:rFonts w:ascii="Palatino Linotype" w:eastAsia="Palatino Linotype" w:hAnsi="Palatino Linotype" w:cs="Palatino Linotype"/>
      <w:b w:val="0"/>
      <w:bCs w:val="0"/>
      <w:i w:val="0"/>
      <w:iCs w:val="0"/>
      <w:smallCaps w:val="0"/>
      <w:strike w:val="0"/>
      <w:sz w:val="22"/>
      <w:szCs w:val="22"/>
      <w:u w:val="none"/>
    </w:rPr>
  </w:style>
  <w:style w:type="paragraph" w:styleId="Tijeloteksta">
    <w:name w:val="Body Text"/>
    <w:basedOn w:val="Normal"/>
    <w:link w:val="TijelotekstaChar"/>
    <w:qFormat/>
    <w:pPr>
      <w:spacing w:after="280"/>
    </w:pPr>
    <w:rPr>
      <w:rFonts w:ascii="Palatino Linotype" w:eastAsia="Palatino Linotype" w:hAnsi="Palatino Linotype" w:cs="Palatino Linotype"/>
      <w:sz w:val="22"/>
      <w:szCs w:val="22"/>
    </w:rPr>
  </w:style>
  <w:style w:type="paragraph" w:customStyle="1" w:styleId="Heading20">
    <w:name w:val="Heading #2"/>
    <w:basedOn w:val="Normal"/>
    <w:link w:val="Heading2"/>
    <w:pPr>
      <w:spacing w:after="300"/>
      <w:jc w:val="center"/>
      <w:outlineLvl w:val="1"/>
    </w:pPr>
    <w:rPr>
      <w:rFonts w:ascii="Palatino Linotype" w:eastAsia="Palatino Linotype" w:hAnsi="Palatino Linotype" w:cs="Palatino Linotype"/>
      <w:b/>
      <w:bCs/>
      <w:sz w:val="22"/>
      <w:szCs w:val="22"/>
    </w:rPr>
  </w:style>
  <w:style w:type="paragraph" w:customStyle="1" w:styleId="Bodytext30">
    <w:name w:val="Body text (3)"/>
    <w:basedOn w:val="Normal"/>
    <w:link w:val="Bodytext3"/>
    <w:pPr>
      <w:spacing w:after="180"/>
      <w:ind w:firstLine="140"/>
    </w:pPr>
    <w:rPr>
      <w:rFonts w:ascii="Arial" w:eastAsia="Arial" w:hAnsi="Arial" w:cs="Arial"/>
      <w:color w:val="333333"/>
      <w:sz w:val="14"/>
      <w:szCs w:val="14"/>
    </w:rPr>
  </w:style>
  <w:style w:type="paragraph" w:customStyle="1" w:styleId="Heading10">
    <w:name w:val="Heading #1"/>
    <w:basedOn w:val="Normal"/>
    <w:link w:val="Heading1"/>
    <w:pPr>
      <w:ind w:firstLine="160"/>
      <w:outlineLvl w:val="0"/>
    </w:pPr>
    <w:rPr>
      <w:rFonts w:ascii="Arial" w:eastAsia="Arial" w:hAnsi="Arial" w:cs="Arial"/>
      <w:color w:val="333333"/>
      <w:sz w:val="36"/>
      <w:szCs w:val="36"/>
    </w:rPr>
  </w:style>
  <w:style w:type="paragraph" w:customStyle="1" w:styleId="Bodytext20">
    <w:name w:val="Body text (2)"/>
    <w:basedOn w:val="Normal"/>
    <w:link w:val="Bodytext2"/>
    <w:pPr>
      <w:ind w:firstLine="560"/>
    </w:pPr>
    <w:rPr>
      <w:rFonts w:ascii="Times New Roman" w:eastAsia="Times New Roman" w:hAnsi="Times New Roman" w:cs="Times New Roman"/>
      <w:color w:val="333333"/>
      <w:sz w:val="13"/>
      <w:szCs w:val="13"/>
    </w:rPr>
  </w:style>
  <w:style w:type="paragraph" w:customStyle="1" w:styleId="Bodytext40">
    <w:name w:val="Body text (4)"/>
    <w:basedOn w:val="Normal"/>
    <w:link w:val="Bodytext4"/>
    <w:pPr>
      <w:ind w:left="1320"/>
    </w:pPr>
    <w:rPr>
      <w:rFonts w:ascii="Arial" w:eastAsia="Arial" w:hAnsi="Arial" w:cs="Arial"/>
      <w:color w:val="333333"/>
      <w:sz w:val="22"/>
      <w:szCs w:val="22"/>
    </w:rPr>
  </w:style>
  <w:style w:type="paragraph" w:customStyle="1" w:styleId="Tablecaption0">
    <w:name w:val="Table caption"/>
    <w:basedOn w:val="Normal"/>
    <w:link w:val="Tablecaption"/>
    <w:rPr>
      <w:rFonts w:ascii="Times New Roman" w:eastAsia="Times New Roman" w:hAnsi="Times New Roman" w:cs="Times New Roman"/>
      <w:color w:val="333333"/>
      <w:sz w:val="13"/>
      <w:szCs w:val="13"/>
    </w:rPr>
  </w:style>
  <w:style w:type="paragraph" w:customStyle="1" w:styleId="Other0">
    <w:name w:val="Other"/>
    <w:basedOn w:val="Normal"/>
    <w:link w:val="Other"/>
    <w:pPr>
      <w:spacing w:after="280"/>
    </w:pPr>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6104</Words>
  <Characters>34796</Characters>
  <Application>Microsoft Office Word</Application>
  <DocSecurity>4</DocSecurity>
  <Lines>289</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Zarka Rogic</dc:creator>
  <cp:keywords/>
  <cp:lastModifiedBy>Tajana Pilko Koštan</cp:lastModifiedBy>
  <cp:revision>2</cp:revision>
  <dcterms:created xsi:type="dcterms:W3CDTF">2025-10-27T12:06:00Z</dcterms:created>
  <dcterms:modified xsi:type="dcterms:W3CDTF">2025-10-27T12:06:00Z</dcterms:modified>
</cp:coreProperties>
</file>